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A36" w:rsidRDefault="00B50A36" w:rsidP="00B12674">
      <w:pPr>
        <w:jc w:val="both"/>
        <w:rPr>
          <w:sz w:val="24"/>
          <w:szCs w:val="24"/>
          <w:lang w:val="ro-RO"/>
        </w:rPr>
      </w:pPr>
    </w:p>
    <w:p w:rsidR="00B50A36" w:rsidRDefault="00B50A36" w:rsidP="00B12674">
      <w:pPr>
        <w:jc w:val="both"/>
        <w:rPr>
          <w:sz w:val="24"/>
          <w:szCs w:val="24"/>
          <w:lang w:val="ro-RO"/>
        </w:rPr>
      </w:pPr>
    </w:p>
    <w:p w:rsidR="00B50A36" w:rsidRDefault="00B50A36" w:rsidP="00B12674">
      <w:pPr>
        <w:jc w:val="both"/>
        <w:rPr>
          <w:sz w:val="24"/>
          <w:szCs w:val="24"/>
          <w:lang w:val="ro-RO"/>
        </w:rPr>
      </w:pPr>
    </w:p>
    <w:p w:rsidR="00B50A36" w:rsidRDefault="00B50A36" w:rsidP="00BB6BF9">
      <w:pPr>
        <w:jc w:val="center"/>
        <w:rPr>
          <w:sz w:val="24"/>
          <w:szCs w:val="24"/>
          <w:lang w:val="ro-RO"/>
        </w:rPr>
      </w:pPr>
    </w:p>
    <w:p w:rsidR="00B50A36" w:rsidRDefault="00B50A36" w:rsidP="00BB6BF9">
      <w:pPr>
        <w:jc w:val="center"/>
        <w:rPr>
          <w:sz w:val="24"/>
          <w:szCs w:val="24"/>
          <w:lang w:val="ro-RO"/>
        </w:rPr>
      </w:pPr>
    </w:p>
    <w:p w:rsidR="00B50A36" w:rsidRDefault="00B50A36" w:rsidP="00BB6BF9">
      <w:pPr>
        <w:jc w:val="center"/>
        <w:rPr>
          <w:sz w:val="24"/>
          <w:szCs w:val="24"/>
          <w:lang w:val="ro-RO"/>
        </w:rPr>
      </w:pPr>
    </w:p>
    <w:p w:rsidR="00B50A36" w:rsidRDefault="00B50A36" w:rsidP="00BB6BF9">
      <w:pPr>
        <w:jc w:val="center"/>
        <w:rPr>
          <w:sz w:val="24"/>
          <w:szCs w:val="24"/>
          <w:lang w:val="ro-RO"/>
        </w:rPr>
      </w:pPr>
    </w:p>
    <w:p w:rsidR="00B50A36" w:rsidRDefault="00B50A36" w:rsidP="00BB6BF9">
      <w:pPr>
        <w:jc w:val="center"/>
        <w:rPr>
          <w:sz w:val="24"/>
          <w:szCs w:val="24"/>
          <w:lang w:val="ro-RO"/>
        </w:rPr>
      </w:pPr>
    </w:p>
    <w:p w:rsidR="00B50A36" w:rsidRDefault="00B50A36" w:rsidP="00BB6BF9">
      <w:pPr>
        <w:jc w:val="center"/>
        <w:rPr>
          <w:b/>
          <w:bCs/>
          <w:sz w:val="28"/>
          <w:szCs w:val="28"/>
          <w:lang w:val="ro-RO"/>
        </w:rPr>
      </w:pPr>
      <w:r w:rsidRPr="00D41C0F">
        <w:rPr>
          <w:b/>
          <w:bCs/>
          <w:sz w:val="28"/>
          <w:szCs w:val="28"/>
          <w:lang w:val="ro-RO"/>
        </w:rPr>
        <w:t>Strategi</w:t>
      </w:r>
      <w:r w:rsidR="00335041">
        <w:rPr>
          <w:b/>
          <w:bCs/>
          <w:sz w:val="28"/>
          <w:szCs w:val="28"/>
          <w:lang w:val="ro-RO"/>
        </w:rPr>
        <w:t>a</w:t>
      </w:r>
      <w:r w:rsidRPr="00D41C0F">
        <w:rPr>
          <w:b/>
          <w:bCs/>
          <w:sz w:val="28"/>
          <w:szCs w:val="28"/>
          <w:lang w:val="ro-RO"/>
        </w:rPr>
        <w:t xml:space="preserve"> Naţionale în domeniul politicii de tineret 2014-2020</w:t>
      </w:r>
    </w:p>
    <w:p w:rsidR="00B50A36" w:rsidRDefault="00B50A36" w:rsidP="00B12674">
      <w:pPr>
        <w:spacing w:after="0" w:line="240" w:lineRule="auto"/>
        <w:jc w:val="both"/>
        <w:rPr>
          <w:sz w:val="24"/>
          <w:szCs w:val="24"/>
          <w:lang w:val="ro-RO"/>
        </w:rPr>
      </w:pPr>
      <w:r w:rsidRPr="005212F1">
        <w:rPr>
          <w:sz w:val="28"/>
          <w:szCs w:val="28"/>
          <w:lang w:val="ro-RO"/>
        </w:rPr>
        <w:br w:type="page"/>
      </w:r>
    </w:p>
    <w:p w:rsidR="00B50A36" w:rsidRDefault="00B50A36" w:rsidP="00B12674">
      <w:pPr>
        <w:pStyle w:val="TOCHeading1"/>
        <w:jc w:val="both"/>
        <w:outlineLvl w:val="0"/>
      </w:pPr>
      <w:bookmarkStart w:id="0" w:name="_Toc370211839"/>
      <w:r>
        <w:lastRenderedPageBreak/>
        <w:t>Cuprins</w:t>
      </w:r>
      <w:bookmarkEnd w:id="0"/>
    </w:p>
    <w:p w:rsidR="00442ABA" w:rsidRDefault="00E91D73">
      <w:pPr>
        <w:pStyle w:val="TOC1"/>
        <w:tabs>
          <w:tab w:val="right" w:leader="dot" w:pos="9350"/>
        </w:tabs>
        <w:rPr>
          <w:rFonts w:asciiTheme="minorHAnsi" w:eastAsiaTheme="minorEastAsia" w:hAnsiTheme="minorHAnsi" w:cstheme="minorBidi"/>
          <w:b w:val="0"/>
          <w:bCs w:val="0"/>
          <w:caps w:val="0"/>
          <w:noProof/>
          <w:sz w:val="22"/>
          <w:szCs w:val="22"/>
        </w:rPr>
      </w:pPr>
      <w:r>
        <w:fldChar w:fldCharType="begin"/>
      </w:r>
      <w:r w:rsidR="00B50A36">
        <w:instrText xml:space="preserve"> TOC \o "1-3" \h \z \u </w:instrText>
      </w:r>
      <w:r>
        <w:fldChar w:fldCharType="separate"/>
      </w:r>
      <w:hyperlink w:anchor="_Toc370211839" w:history="1">
        <w:r w:rsidR="00442ABA" w:rsidRPr="00086CA5">
          <w:rPr>
            <w:rStyle w:val="Hyperlink"/>
            <w:noProof/>
          </w:rPr>
          <w:t>Cuprins</w:t>
        </w:r>
        <w:r w:rsidR="00442ABA">
          <w:rPr>
            <w:noProof/>
            <w:webHidden/>
          </w:rPr>
          <w:tab/>
        </w:r>
        <w:r w:rsidR="00442ABA">
          <w:rPr>
            <w:noProof/>
            <w:webHidden/>
          </w:rPr>
          <w:fldChar w:fldCharType="begin"/>
        </w:r>
        <w:r w:rsidR="00442ABA">
          <w:rPr>
            <w:noProof/>
            <w:webHidden/>
          </w:rPr>
          <w:instrText xml:space="preserve"> PAGEREF _Toc370211839 \h </w:instrText>
        </w:r>
        <w:r w:rsidR="00442ABA">
          <w:rPr>
            <w:noProof/>
            <w:webHidden/>
          </w:rPr>
        </w:r>
        <w:r w:rsidR="00442ABA">
          <w:rPr>
            <w:noProof/>
            <w:webHidden/>
          </w:rPr>
          <w:fldChar w:fldCharType="separate"/>
        </w:r>
        <w:r w:rsidR="00442ABA">
          <w:rPr>
            <w:noProof/>
            <w:webHidden/>
          </w:rPr>
          <w:t>2</w:t>
        </w:r>
        <w:r w:rsidR="00442ABA">
          <w:rPr>
            <w:noProof/>
            <w:webHidden/>
          </w:rPr>
          <w:fldChar w:fldCharType="end"/>
        </w:r>
      </w:hyperlink>
    </w:p>
    <w:p w:rsidR="00442ABA" w:rsidRDefault="00AF3695">
      <w:pPr>
        <w:pStyle w:val="TOC1"/>
        <w:tabs>
          <w:tab w:val="right" w:leader="dot" w:pos="9350"/>
        </w:tabs>
        <w:rPr>
          <w:rFonts w:asciiTheme="minorHAnsi" w:eastAsiaTheme="minorEastAsia" w:hAnsiTheme="minorHAnsi" w:cstheme="minorBidi"/>
          <w:b w:val="0"/>
          <w:bCs w:val="0"/>
          <w:caps w:val="0"/>
          <w:noProof/>
          <w:sz w:val="22"/>
          <w:szCs w:val="22"/>
        </w:rPr>
      </w:pPr>
      <w:hyperlink w:anchor="_Toc370211840" w:history="1">
        <w:r w:rsidR="00442ABA" w:rsidRPr="00086CA5">
          <w:rPr>
            <w:rStyle w:val="Hyperlink"/>
            <w:noProof/>
            <w:lang w:val="ro-RO"/>
          </w:rPr>
          <w:t>Contextul elaborării strategiei pentru tineret (strategiile anterioare, cadrul politic, economic, social, tehnologic )</w:t>
        </w:r>
        <w:r w:rsidR="00442ABA">
          <w:rPr>
            <w:noProof/>
            <w:webHidden/>
          </w:rPr>
          <w:tab/>
        </w:r>
        <w:r w:rsidR="00442ABA">
          <w:rPr>
            <w:noProof/>
            <w:webHidden/>
          </w:rPr>
          <w:fldChar w:fldCharType="begin"/>
        </w:r>
        <w:r w:rsidR="00442ABA">
          <w:rPr>
            <w:noProof/>
            <w:webHidden/>
          </w:rPr>
          <w:instrText xml:space="preserve"> PAGEREF _Toc370211840 \h </w:instrText>
        </w:r>
        <w:r w:rsidR="00442ABA">
          <w:rPr>
            <w:noProof/>
            <w:webHidden/>
          </w:rPr>
        </w:r>
        <w:r w:rsidR="00442ABA">
          <w:rPr>
            <w:noProof/>
            <w:webHidden/>
          </w:rPr>
          <w:fldChar w:fldCharType="separate"/>
        </w:r>
        <w:r w:rsidR="00442ABA">
          <w:rPr>
            <w:noProof/>
            <w:webHidden/>
          </w:rPr>
          <w:t>5</w:t>
        </w:r>
        <w:r w:rsidR="00442ABA">
          <w:rPr>
            <w:noProof/>
            <w:webHidden/>
          </w:rPr>
          <w:fldChar w:fldCharType="end"/>
        </w:r>
      </w:hyperlink>
    </w:p>
    <w:p w:rsidR="00442ABA" w:rsidRDefault="00AF3695">
      <w:pPr>
        <w:pStyle w:val="TOC2"/>
        <w:tabs>
          <w:tab w:val="right" w:leader="dot" w:pos="9350"/>
        </w:tabs>
        <w:rPr>
          <w:rFonts w:asciiTheme="minorHAnsi" w:eastAsiaTheme="minorEastAsia" w:hAnsiTheme="minorHAnsi" w:cstheme="minorBidi"/>
          <w:b w:val="0"/>
          <w:bCs w:val="0"/>
          <w:noProof/>
          <w:sz w:val="22"/>
          <w:szCs w:val="22"/>
        </w:rPr>
      </w:pPr>
      <w:hyperlink w:anchor="_Toc370211841" w:history="1">
        <w:r w:rsidR="00442ABA" w:rsidRPr="00086CA5">
          <w:rPr>
            <w:rStyle w:val="Hyperlink"/>
            <w:noProof/>
            <w:lang w:val="ro-RO"/>
          </w:rPr>
          <w:t>Prima ”strategie” de tineret  - PNAT-R</w:t>
        </w:r>
        <w:r w:rsidR="00442ABA">
          <w:rPr>
            <w:noProof/>
            <w:webHidden/>
          </w:rPr>
          <w:tab/>
        </w:r>
        <w:r w:rsidR="00442ABA">
          <w:rPr>
            <w:noProof/>
            <w:webHidden/>
          </w:rPr>
          <w:fldChar w:fldCharType="begin"/>
        </w:r>
        <w:r w:rsidR="00442ABA">
          <w:rPr>
            <w:noProof/>
            <w:webHidden/>
          </w:rPr>
          <w:instrText xml:space="preserve"> PAGEREF _Toc370211841 \h </w:instrText>
        </w:r>
        <w:r w:rsidR="00442ABA">
          <w:rPr>
            <w:noProof/>
            <w:webHidden/>
          </w:rPr>
        </w:r>
        <w:r w:rsidR="00442ABA">
          <w:rPr>
            <w:noProof/>
            <w:webHidden/>
          </w:rPr>
          <w:fldChar w:fldCharType="separate"/>
        </w:r>
        <w:r w:rsidR="00442ABA">
          <w:rPr>
            <w:noProof/>
            <w:webHidden/>
          </w:rPr>
          <w:t>5</w:t>
        </w:r>
        <w:r w:rsidR="00442ABA">
          <w:rPr>
            <w:noProof/>
            <w:webHidden/>
          </w:rPr>
          <w:fldChar w:fldCharType="end"/>
        </w:r>
      </w:hyperlink>
    </w:p>
    <w:p w:rsidR="00442ABA" w:rsidRDefault="00AF3695">
      <w:pPr>
        <w:pStyle w:val="TOC2"/>
        <w:tabs>
          <w:tab w:val="right" w:leader="dot" w:pos="9350"/>
        </w:tabs>
        <w:rPr>
          <w:rFonts w:asciiTheme="minorHAnsi" w:eastAsiaTheme="minorEastAsia" w:hAnsiTheme="minorHAnsi" w:cstheme="minorBidi"/>
          <w:b w:val="0"/>
          <w:bCs w:val="0"/>
          <w:noProof/>
          <w:sz w:val="22"/>
          <w:szCs w:val="22"/>
        </w:rPr>
      </w:pPr>
      <w:hyperlink w:anchor="_Toc370211842" w:history="1">
        <w:r w:rsidR="00442ABA" w:rsidRPr="00086CA5">
          <w:rPr>
            <w:rStyle w:val="Hyperlink"/>
            <w:noProof/>
            <w:lang w:val="ro-RO"/>
          </w:rPr>
          <w:t>Strategii pe plan european</w:t>
        </w:r>
        <w:r w:rsidR="00442ABA">
          <w:rPr>
            <w:noProof/>
            <w:webHidden/>
          </w:rPr>
          <w:tab/>
        </w:r>
        <w:r w:rsidR="00442ABA">
          <w:rPr>
            <w:noProof/>
            <w:webHidden/>
          </w:rPr>
          <w:fldChar w:fldCharType="begin"/>
        </w:r>
        <w:r w:rsidR="00442ABA">
          <w:rPr>
            <w:noProof/>
            <w:webHidden/>
          </w:rPr>
          <w:instrText xml:space="preserve"> PAGEREF _Toc370211842 \h </w:instrText>
        </w:r>
        <w:r w:rsidR="00442ABA">
          <w:rPr>
            <w:noProof/>
            <w:webHidden/>
          </w:rPr>
        </w:r>
        <w:r w:rsidR="00442ABA">
          <w:rPr>
            <w:noProof/>
            <w:webHidden/>
          </w:rPr>
          <w:fldChar w:fldCharType="separate"/>
        </w:r>
        <w:r w:rsidR="00442ABA">
          <w:rPr>
            <w:noProof/>
            <w:webHidden/>
          </w:rPr>
          <w:t>5</w:t>
        </w:r>
        <w:r w:rsidR="00442ABA">
          <w:rPr>
            <w:noProof/>
            <w:webHidden/>
          </w:rPr>
          <w:fldChar w:fldCharType="end"/>
        </w:r>
      </w:hyperlink>
    </w:p>
    <w:p w:rsidR="00442ABA" w:rsidRDefault="00AF3695">
      <w:pPr>
        <w:pStyle w:val="TOC2"/>
        <w:tabs>
          <w:tab w:val="right" w:leader="dot" w:pos="9350"/>
        </w:tabs>
        <w:rPr>
          <w:rFonts w:asciiTheme="minorHAnsi" w:eastAsiaTheme="minorEastAsia" w:hAnsiTheme="minorHAnsi" w:cstheme="minorBidi"/>
          <w:b w:val="0"/>
          <w:bCs w:val="0"/>
          <w:noProof/>
          <w:sz w:val="22"/>
          <w:szCs w:val="22"/>
        </w:rPr>
      </w:pPr>
      <w:hyperlink w:anchor="_Toc370211843" w:history="1">
        <w:r w:rsidR="00442ABA" w:rsidRPr="00086CA5">
          <w:rPr>
            <w:rStyle w:val="Hyperlink"/>
            <w:noProof/>
            <w:lang w:val="ro-RO"/>
          </w:rPr>
          <w:t>Analiza contextului politic, economic, social și tehnologic</w:t>
        </w:r>
        <w:r w:rsidR="00442ABA">
          <w:rPr>
            <w:noProof/>
            <w:webHidden/>
          </w:rPr>
          <w:tab/>
        </w:r>
        <w:r w:rsidR="00442ABA">
          <w:rPr>
            <w:noProof/>
            <w:webHidden/>
          </w:rPr>
          <w:fldChar w:fldCharType="begin"/>
        </w:r>
        <w:r w:rsidR="00442ABA">
          <w:rPr>
            <w:noProof/>
            <w:webHidden/>
          </w:rPr>
          <w:instrText xml:space="preserve"> PAGEREF _Toc370211843 \h </w:instrText>
        </w:r>
        <w:r w:rsidR="00442ABA">
          <w:rPr>
            <w:noProof/>
            <w:webHidden/>
          </w:rPr>
        </w:r>
        <w:r w:rsidR="00442ABA">
          <w:rPr>
            <w:noProof/>
            <w:webHidden/>
          </w:rPr>
          <w:fldChar w:fldCharType="separate"/>
        </w:r>
        <w:r w:rsidR="00442ABA">
          <w:rPr>
            <w:noProof/>
            <w:webHidden/>
          </w:rPr>
          <w:t>6</w:t>
        </w:r>
        <w:r w:rsidR="00442ABA">
          <w:rPr>
            <w:noProof/>
            <w:webHidden/>
          </w:rPr>
          <w:fldChar w:fldCharType="end"/>
        </w:r>
      </w:hyperlink>
    </w:p>
    <w:p w:rsidR="00442ABA" w:rsidRDefault="00AF3695">
      <w:pPr>
        <w:pStyle w:val="TOC3"/>
        <w:tabs>
          <w:tab w:val="right" w:leader="dot" w:pos="9350"/>
        </w:tabs>
        <w:rPr>
          <w:rFonts w:asciiTheme="minorHAnsi" w:eastAsiaTheme="minorEastAsia" w:hAnsiTheme="minorHAnsi" w:cstheme="minorBidi"/>
          <w:noProof/>
          <w:sz w:val="22"/>
          <w:szCs w:val="22"/>
        </w:rPr>
      </w:pPr>
      <w:hyperlink w:anchor="_Toc370211844" w:history="1">
        <w:r w:rsidR="00442ABA" w:rsidRPr="00086CA5">
          <w:rPr>
            <w:rStyle w:val="Hyperlink"/>
            <w:noProof/>
            <w:lang w:val="ro-RO"/>
          </w:rPr>
          <w:t>Dimensiunea politică</w:t>
        </w:r>
        <w:r w:rsidR="00442ABA">
          <w:rPr>
            <w:noProof/>
            <w:webHidden/>
          </w:rPr>
          <w:tab/>
        </w:r>
        <w:r w:rsidR="00442ABA">
          <w:rPr>
            <w:noProof/>
            <w:webHidden/>
          </w:rPr>
          <w:fldChar w:fldCharType="begin"/>
        </w:r>
        <w:r w:rsidR="00442ABA">
          <w:rPr>
            <w:noProof/>
            <w:webHidden/>
          </w:rPr>
          <w:instrText xml:space="preserve"> PAGEREF _Toc370211844 \h </w:instrText>
        </w:r>
        <w:r w:rsidR="00442ABA">
          <w:rPr>
            <w:noProof/>
            <w:webHidden/>
          </w:rPr>
        </w:r>
        <w:r w:rsidR="00442ABA">
          <w:rPr>
            <w:noProof/>
            <w:webHidden/>
          </w:rPr>
          <w:fldChar w:fldCharType="separate"/>
        </w:r>
        <w:r w:rsidR="00442ABA">
          <w:rPr>
            <w:noProof/>
            <w:webHidden/>
          </w:rPr>
          <w:t>6</w:t>
        </w:r>
        <w:r w:rsidR="00442ABA">
          <w:rPr>
            <w:noProof/>
            <w:webHidden/>
          </w:rPr>
          <w:fldChar w:fldCharType="end"/>
        </w:r>
      </w:hyperlink>
    </w:p>
    <w:p w:rsidR="00442ABA" w:rsidRDefault="00AF3695">
      <w:pPr>
        <w:pStyle w:val="TOC3"/>
        <w:tabs>
          <w:tab w:val="right" w:leader="dot" w:pos="9350"/>
        </w:tabs>
        <w:rPr>
          <w:rFonts w:asciiTheme="minorHAnsi" w:eastAsiaTheme="minorEastAsia" w:hAnsiTheme="minorHAnsi" w:cstheme="minorBidi"/>
          <w:noProof/>
          <w:sz w:val="22"/>
          <w:szCs w:val="22"/>
        </w:rPr>
      </w:pPr>
      <w:hyperlink w:anchor="_Toc370211845" w:history="1">
        <w:r w:rsidR="00442ABA" w:rsidRPr="00086CA5">
          <w:rPr>
            <w:rStyle w:val="Hyperlink"/>
            <w:noProof/>
            <w:lang w:val="ro-RO"/>
          </w:rPr>
          <w:t>Dimensiunea socială</w:t>
        </w:r>
        <w:r w:rsidR="00442ABA">
          <w:rPr>
            <w:noProof/>
            <w:webHidden/>
          </w:rPr>
          <w:tab/>
        </w:r>
        <w:r w:rsidR="00442ABA">
          <w:rPr>
            <w:noProof/>
            <w:webHidden/>
          </w:rPr>
          <w:fldChar w:fldCharType="begin"/>
        </w:r>
        <w:r w:rsidR="00442ABA">
          <w:rPr>
            <w:noProof/>
            <w:webHidden/>
          </w:rPr>
          <w:instrText xml:space="preserve"> PAGEREF _Toc370211845 \h </w:instrText>
        </w:r>
        <w:r w:rsidR="00442ABA">
          <w:rPr>
            <w:noProof/>
            <w:webHidden/>
          </w:rPr>
        </w:r>
        <w:r w:rsidR="00442ABA">
          <w:rPr>
            <w:noProof/>
            <w:webHidden/>
          </w:rPr>
          <w:fldChar w:fldCharType="separate"/>
        </w:r>
        <w:r w:rsidR="00442ABA">
          <w:rPr>
            <w:noProof/>
            <w:webHidden/>
          </w:rPr>
          <w:t>7</w:t>
        </w:r>
        <w:r w:rsidR="00442ABA">
          <w:rPr>
            <w:noProof/>
            <w:webHidden/>
          </w:rPr>
          <w:fldChar w:fldCharType="end"/>
        </w:r>
      </w:hyperlink>
    </w:p>
    <w:p w:rsidR="00442ABA" w:rsidRDefault="00AF3695">
      <w:pPr>
        <w:pStyle w:val="TOC3"/>
        <w:tabs>
          <w:tab w:val="right" w:leader="dot" w:pos="9350"/>
        </w:tabs>
        <w:rPr>
          <w:rFonts w:asciiTheme="minorHAnsi" w:eastAsiaTheme="minorEastAsia" w:hAnsiTheme="minorHAnsi" w:cstheme="minorBidi"/>
          <w:noProof/>
          <w:sz w:val="22"/>
          <w:szCs w:val="22"/>
        </w:rPr>
      </w:pPr>
      <w:hyperlink w:anchor="_Toc370211846" w:history="1">
        <w:r w:rsidR="00442ABA" w:rsidRPr="00086CA5">
          <w:rPr>
            <w:rStyle w:val="Hyperlink"/>
            <w:noProof/>
            <w:lang w:val="ro-RO"/>
          </w:rPr>
          <w:t>Dimensiunea economică</w:t>
        </w:r>
        <w:r w:rsidR="00442ABA">
          <w:rPr>
            <w:noProof/>
            <w:webHidden/>
          </w:rPr>
          <w:tab/>
        </w:r>
        <w:r w:rsidR="00442ABA">
          <w:rPr>
            <w:noProof/>
            <w:webHidden/>
          </w:rPr>
          <w:fldChar w:fldCharType="begin"/>
        </w:r>
        <w:r w:rsidR="00442ABA">
          <w:rPr>
            <w:noProof/>
            <w:webHidden/>
          </w:rPr>
          <w:instrText xml:space="preserve"> PAGEREF _Toc370211846 \h </w:instrText>
        </w:r>
        <w:r w:rsidR="00442ABA">
          <w:rPr>
            <w:noProof/>
            <w:webHidden/>
          </w:rPr>
        </w:r>
        <w:r w:rsidR="00442ABA">
          <w:rPr>
            <w:noProof/>
            <w:webHidden/>
          </w:rPr>
          <w:fldChar w:fldCharType="separate"/>
        </w:r>
        <w:r w:rsidR="00442ABA">
          <w:rPr>
            <w:noProof/>
            <w:webHidden/>
          </w:rPr>
          <w:t>8</w:t>
        </w:r>
        <w:r w:rsidR="00442ABA">
          <w:rPr>
            <w:noProof/>
            <w:webHidden/>
          </w:rPr>
          <w:fldChar w:fldCharType="end"/>
        </w:r>
      </w:hyperlink>
    </w:p>
    <w:p w:rsidR="00442ABA" w:rsidRDefault="00AF3695">
      <w:pPr>
        <w:pStyle w:val="TOC3"/>
        <w:tabs>
          <w:tab w:val="right" w:leader="dot" w:pos="9350"/>
        </w:tabs>
        <w:rPr>
          <w:rFonts w:asciiTheme="minorHAnsi" w:eastAsiaTheme="minorEastAsia" w:hAnsiTheme="minorHAnsi" w:cstheme="minorBidi"/>
          <w:noProof/>
          <w:sz w:val="22"/>
          <w:szCs w:val="22"/>
        </w:rPr>
      </w:pPr>
      <w:hyperlink w:anchor="_Toc370211847" w:history="1">
        <w:r w:rsidR="00442ABA" w:rsidRPr="00086CA5">
          <w:rPr>
            <w:rStyle w:val="Hyperlink"/>
            <w:noProof/>
            <w:lang w:val="ro-RO"/>
          </w:rPr>
          <w:t>Dimensiunea tehnologică</w:t>
        </w:r>
        <w:r w:rsidR="00442ABA">
          <w:rPr>
            <w:noProof/>
            <w:webHidden/>
          </w:rPr>
          <w:tab/>
        </w:r>
        <w:r w:rsidR="00442ABA">
          <w:rPr>
            <w:noProof/>
            <w:webHidden/>
          </w:rPr>
          <w:fldChar w:fldCharType="begin"/>
        </w:r>
        <w:r w:rsidR="00442ABA">
          <w:rPr>
            <w:noProof/>
            <w:webHidden/>
          </w:rPr>
          <w:instrText xml:space="preserve"> PAGEREF _Toc370211847 \h </w:instrText>
        </w:r>
        <w:r w:rsidR="00442ABA">
          <w:rPr>
            <w:noProof/>
            <w:webHidden/>
          </w:rPr>
        </w:r>
        <w:r w:rsidR="00442ABA">
          <w:rPr>
            <w:noProof/>
            <w:webHidden/>
          </w:rPr>
          <w:fldChar w:fldCharType="separate"/>
        </w:r>
        <w:r w:rsidR="00442ABA">
          <w:rPr>
            <w:noProof/>
            <w:webHidden/>
          </w:rPr>
          <w:t>8</w:t>
        </w:r>
        <w:r w:rsidR="00442ABA">
          <w:rPr>
            <w:noProof/>
            <w:webHidden/>
          </w:rPr>
          <w:fldChar w:fldCharType="end"/>
        </w:r>
      </w:hyperlink>
    </w:p>
    <w:p w:rsidR="00442ABA" w:rsidRDefault="00AF3695">
      <w:pPr>
        <w:pStyle w:val="TOC1"/>
        <w:tabs>
          <w:tab w:val="right" w:leader="dot" w:pos="9350"/>
        </w:tabs>
        <w:rPr>
          <w:rFonts w:asciiTheme="minorHAnsi" w:eastAsiaTheme="minorEastAsia" w:hAnsiTheme="minorHAnsi" w:cstheme="minorBidi"/>
          <w:b w:val="0"/>
          <w:bCs w:val="0"/>
          <w:caps w:val="0"/>
          <w:noProof/>
          <w:sz w:val="22"/>
          <w:szCs w:val="22"/>
        </w:rPr>
      </w:pPr>
      <w:hyperlink w:anchor="_Toc370211848" w:history="1">
        <w:r w:rsidR="00442ABA" w:rsidRPr="00086CA5">
          <w:rPr>
            <w:rStyle w:val="Hyperlink"/>
            <w:noProof/>
            <w:lang w:val="ro-RO"/>
          </w:rPr>
          <w:t>Situaţia tinerilor din România</w:t>
        </w:r>
        <w:r w:rsidR="00442ABA">
          <w:rPr>
            <w:noProof/>
            <w:webHidden/>
          </w:rPr>
          <w:tab/>
        </w:r>
        <w:r w:rsidR="00442ABA">
          <w:rPr>
            <w:noProof/>
            <w:webHidden/>
          </w:rPr>
          <w:fldChar w:fldCharType="begin"/>
        </w:r>
        <w:r w:rsidR="00442ABA">
          <w:rPr>
            <w:noProof/>
            <w:webHidden/>
          </w:rPr>
          <w:instrText xml:space="preserve"> PAGEREF _Toc370211848 \h </w:instrText>
        </w:r>
        <w:r w:rsidR="00442ABA">
          <w:rPr>
            <w:noProof/>
            <w:webHidden/>
          </w:rPr>
        </w:r>
        <w:r w:rsidR="00442ABA">
          <w:rPr>
            <w:noProof/>
            <w:webHidden/>
          </w:rPr>
          <w:fldChar w:fldCharType="separate"/>
        </w:r>
        <w:r w:rsidR="00442ABA">
          <w:rPr>
            <w:noProof/>
            <w:webHidden/>
          </w:rPr>
          <w:t>9</w:t>
        </w:r>
        <w:r w:rsidR="00442ABA">
          <w:rPr>
            <w:noProof/>
            <w:webHidden/>
          </w:rPr>
          <w:fldChar w:fldCharType="end"/>
        </w:r>
      </w:hyperlink>
    </w:p>
    <w:p w:rsidR="00442ABA" w:rsidRDefault="00AF3695">
      <w:pPr>
        <w:pStyle w:val="TOC2"/>
        <w:tabs>
          <w:tab w:val="right" w:leader="dot" w:pos="9350"/>
        </w:tabs>
        <w:rPr>
          <w:rFonts w:asciiTheme="minorHAnsi" w:eastAsiaTheme="minorEastAsia" w:hAnsiTheme="minorHAnsi" w:cstheme="minorBidi"/>
          <w:b w:val="0"/>
          <w:bCs w:val="0"/>
          <w:noProof/>
          <w:sz w:val="22"/>
          <w:szCs w:val="22"/>
        </w:rPr>
      </w:pPr>
      <w:hyperlink w:anchor="_Toc370211849" w:history="1">
        <w:r w:rsidR="00442ABA" w:rsidRPr="00086CA5">
          <w:rPr>
            <w:rStyle w:val="Hyperlink"/>
            <w:noProof/>
            <w:lang w:val="ro-RO"/>
          </w:rPr>
          <w:t>Statutul de tânăr și grupurile-ţintă ale strategiei</w:t>
        </w:r>
        <w:r w:rsidR="00442ABA">
          <w:rPr>
            <w:noProof/>
            <w:webHidden/>
          </w:rPr>
          <w:tab/>
        </w:r>
        <w:r w:rsidR="00442ABA">
          <w:rPr>
            <w:noProof/>
            <w:webHidden/>
          </w:rPr>
          <w:fldChar w:fldCharType="begin"/>
        </w:r>
        <w:r w:rsidR="00442ABA">
          <w:rPr>
            <w:noProof/>
            <w:webHidden/>
          </w:rPr>
          <w:instrText xml:space="preserve"> PAGEREF _Toc370211849 \h </w:instrText>
        </w:r>
        <w:r w:rsidR="00442ABA">
          <w:rPr>
            <w:noProof/>
            <w:webHidden/>
          </w:rPr>
        </w:r>
        <w:r w:rsidR="00442ABA">
          <w:rPr>
            <w:noProof/>
            <w:webHidden/>
          </w:rPr>
          <w:fldChar w:fldCharType="separate"/>
        </w:r>
        <w:r w:rsidR="00442ABA">
          <w:rPr>
            <w:noProof/>
            <w:webHidden/>
          </w:rPr>
          <w:t>9</w:t>
        </w:r>
        <w:r w:rsidR="00442ABA">
          <w:rPr>
            <w:noProof/>
            <w:webHidden/>
          </w:rPr>
          <w:fldChar w:fldCharType="end"/>
        </w:r>
      </w:hyperlink>
    </w:p>
    <w:p w:rsidR="00442ABA" w:rsidRDefault="00AF3695">
      <w:pPr>
        <w:pStyle w:val="TOC2"/>
        <w:tabs>
          <w:tab w:val="right" w:leader="dot" w:pos="9350"/>
        </w:tabs>
        <w:rPr>
          <w:rFonts w:asciiTheme="minorHAnsi" w:eastAsiaTheme="minorEastAsia" w:hAnsiTheme="minorHAnsi" w:cstheme="minorBidi"/>
          <w:b w:val="0"/>
          <w:bCs w:val="0"/>
          <w:noProof/>
          <w:sz w:val="22"/>
          <w:szCs w:val="22"/>
        </w:rPr>
      </w:pPr>
      <w:hyperlink w:anchor="_Toc370211850" w:history="1">
        <w:r w:rsidR="00442ABA" w:rsidRPr="00086CA5">
          <w:rPr>
            <w:rStyle w:val="Hyperlink"/>
            <w:noProof/>
            <w:lang w:val="ro-RO"/>
          </w:rPr>
          <w:t>Provocări şi rezultate aşteptate</w:t>
        </w:r>
        <w:r w:rsidR="00442ABA">
          <w:rPr>
            <w:noProof/>
            <w:webHidden/>
          </w:rPr>
          <w:tab/>
        </w:r>
        <w:r w:rsidR="00442ABA">
          <w:rPr>
            <w:noProof/>
            <w:webHidden/>
          </w:rPr>
          <w:fldChar w:fldCharType="begin"/>
        </w:r>
        <w:r w:rsidR="00442ABA">
          <w:rPr>
            <w:noProof/>
            <w:webHidden/>
          </w:rPr>
          <w:instrText xml:space="preserve"> PAGEREF _Toc370211850 \h </w:instrText>
        </w:r>
        <w:r w:rsidR="00442ABA">
          <w:rPr>
            <w:noProof/>
            <w:webHidden/>
          </w:rPr>
        </w:r>
        <w:r w:rsidR="00442ABA">
          <w:rPr>
            <w:noProof/>
            <w:webHidden/>
          </w:rPr>
          <w:fldChar w:fldCharType="separate"/>
        </w:r>
        <w:r w:rsidR="00442ABA">
          <w:rPr>
            <w:noProof/>
            <w:webHidden/>
          </w:rPr>
          <w:t>10</w:t>
        </w:r>
        <w:r w:rsidR="00442ABA">
          <w:rPr>
            <w:noProof/>
            <w:webHidden/>
          </w:rPr>
          <w:fldChar w:fldCharType="end"/>
        </w:r>
      </w:hyperlink>
    </w:p>
    <w:p w:rsidR="00442ABA" w:rsidRDefault="00AF3695">
      <w:pPr>
        <w:pStyle w:val="TOC2"/>
        <w:tabs>
          <w:tab w:val="right" w:leader="dot" w:pos="9350"/>
        </w:tabs>
        <w:rPr>
          <w:rFonts w:asciiTheme="minorHAnsi" w:eastAsiaTheme="minorEastAsia" w:hAnsiTheme="minorHAnsi" w:cstheme="minorBidi"/>
          <w:b w:val="0"/>
          <w:bCs w:val="0"/>
          <w:noProof/>
          <w:sz w:val="22"/>
          <w:szCs w:val="22"/>
        </w:rPr>
      </w:pPr>
      <w:hyperlink w:anchor="_Toc370211851" w:history="1">
        <w:r w:rsidR="00442ABA" w:rsidRPr="00086CA5">
          <w:rPr>
            <w:rStyle w:val="Hyperlink"/>
            <w:noProof/>
            <w:lang w:val="ro-RO"/>
          </w:rPr>
          <w:t>Dinamica populaţiei de tineri</w:t>
        </w:r>
        <w:r w:rsidR="00442ABA">
          <w:rPr>
            <w:noProof/>
            <w:webHidden/>
          </w:rPr>
          <w:tab/>
        </w:r>
        <w:r w:rsidR="00442ABA">
          <w:rPr>
            <w:noProof/>
            <w:webHidden/>
          </w:rPr>
          <w:fldChar w:fldCharType="begin"/>
        </w:r>
        <w:r w:rsidR="00442ABA">
          <w:rPr>
            <w:noProof/>
            <w:webHidden/>
          </w:rPr>
          <w:instrText xml:space="preserve"> PAGEREF _Toc370211851 \h </w:instrText>
        </w:r>
        <w:r w:rsidR="00442ABA">
          <w:rPr>
            <w:noProof/>
            <w:webHidden/>
          </w:rPr>
        </w:r>
        <w:r w:rsidR="00442ABA">
          <w:rPr>
            <w:noProof/>
            <w:webHidden/>
          </w:rPr>
          <w:fldChar w:fldCharType="separate"/>
        </w:r>
        <w:r w:rsidR="00442ABA">
          <w:rPr>
            <w:noProof/>
            <w:webHidden/>
          </w:rPr>
          <w:t>10</w:t>
        </w:r>
        <w:r w:rsidR="00442ABA">
          <w:rPr>
            <w:noProof/>
            <w:webHidden/>
          </w:rPr>
          <w:fldChar w:fldCharType="end"/>
        </w:r>
      </w:hyperlink>
    </w:p>
    <w:p w:rsidR="00442ABA" w:rsidRDefault="00AF3695">
      <w:pPr>
        <w:pStyle w:val="TOC2"/>
        <w:tabs>
          <w:tab w:val="right" w:leader="dot" w:pos="9350"/>
        </w:tabs>
        <w:rPr>
          <w:rFonts w:asciiTheme="minorHAnsi" w:eastAsiaTheme="minorEastAsia" w:hAnsiTheme="minorHAnsi" w:cstheme="minorBidi"/>
          <w:b w:val="0"/>
          <w:bCs w:val="0"/>
          <w:noProof/>
          <w:sz w:val="22"/>
          <w:szCs w:val="22"/>
        </w:rPr>
      </w:pPr>
      <w:hyperlink w:anchor="_Toc370211852" w:history="1">
        <w:r w:rsidR="00442ABA" w:rsidRPr="00086CA5">
          <w:rPr>
            <w:rStyle w:val="Hyperlink"/>
            <w:noProof/>
            <w:lang w:val="ro-RO"/>
          </w:rPr>
          <w:t>Sărăcie și forme de excluziune socială a tinerilor</w:t>
        </w:r>
        <w:r w:rsidR="00442ABA">
          <w:rPr>
            <w:noProof/>
            <w:webHidden/>
          </w:rPr>
          <w:tab/>
        </w:r>
        <w:r w:rsidR="00442ABA">
          <w:rPr>
            <w:noProof/>
            <w:webHidden/>
          </w:rPr>
          <w:fldChar w:fldCharType="begin"/>
        </w:r>
        <w:r w:rsidR="00442ABA">
          <w:rPr>
            <w:noProof/>
            <w:webHidden/>
          </w:rPr>
          <w:instrText xml:space="preserve"> PAGEREF _Toc370211852 \h </w:instrText>
        </w:r>
        <w:r w:rsidR="00442ABA">
          <w:rPr>
            <w:noProof/>
            <w:webHidden/>
          </w:rPr>
        </w:r>
        <w:r w:rsidR="00442ABA">
          <w:rPr>
            <w:noProof/>
            <w:webHidden/>
          </w:rPr>
          <w:fldChar w:fldCharType="separate"/>
        </w:r>
        <w:r w:rsidR="00442ABA">
          <w:rPr>
            <w:noProof/>
            <w:webHidden/>
          </w:rPr>
          <w:t>10</w:t>
        </w:r>
        <w:r w:rsidR="00442ABA">
          <w:rPr>
            <w:noProof/>
            <w:webHidden/>
          </w:rPr>
          <w:fldChar w:fldCharType="end"/>
        </w:r>
      </w:hyperlink>
    </w:p>
    <w:p w:rsidR="00442ABA" w:rsidRDefault="00AF3695">
      <w:pPr>
        <w:pStyle w:val="TOC2"/>
        <w:tabs>
          <w:tab w:val="right" w:leader="dot" w:pos="9350"/>
        </w:tabs>
        <w:rPr>
          <w:rFonts w:asciiTheme="minorHAnsi" w:eastAsiaTheme="minorEastAsia" w:hAnsiTheme="minorHAnsi" w:cstheme="minorBidi"/>
          <w:b w:val="0"/>
          <w:bCs w:val="0"/>
          <w:noProof/>
          <w:sz w:val="22"/>
          <w:szCs w:val="22"/>
        </w:rPr>
      </w:pPr>
      <w:hyperlink w:anchor="_Toc370211853" w:history="1">
        <w:r w:rsidR="00442ABA" w:rsidRPr="00086CA5">
          <w:rPr>
            <w:rStyle w:val="Hyperlink"/>
            <w:noProof/>
            <w:lang w:val="ro-RO"/>
          </w:rPr>
          <w:t>Ocupare și antreprenoriat</w:t>
        </w:r>
        <w:r w:rsidR="00442ABA">
          <w:rPr>
            <w:noProof/>
            <w:webHidden/>
          </w:rPr>
          <w:tab/>
        </w:r>
        <w:r w:rsidR="00442ABA">
          <w:rPr>
            <w:noProof/>
            <w:webHidden/>
          </w:rPr>
          <w:fldChar w:fldCharType="begin"/>
        </w:r>
        <w:r w:rsidR="00442ABA">
          <w:rPr>
            <w:noProof/>
            <w:webHidden/>
          </w:rPr>
          <w:instrText xml:space="preserve"> PAGEREF _Toc370211853 \h </w:instrText>
        </w:r>
        <w:r w:rsidR="00442ABA">
          <w:rPr>
            <w:noProof/>
            <w:webHidden/>
          </w:rPr>
        </w:r>
        <w:r w:rsidR="00442ABA">
          <w:rPr>
            <w:noProof/>
            <w:webHidden/>
          </w:rPr>
          <w:fldChar w:fldCharType="separate"/>
        </w:r>
        <w:r w:rsidR="00442ABA">
          <w:rPr>
            <w:noProof/>
            <w:webHidden/>
          </w:rPr>
          <w:t>11</w:t>
        </w:r>
        <w:r w:rsidR="00442ABA">
          <w:rPr>
            <w:noProof/>
            <w:webHidden/>
          </w:rPr>
          <w:fldChar w:fldCharType="end"/>
        </w:r>
      </w:hyperlink>
    </w:p>
    <w:p w:rsidR="00442ABA" w:rsidRDefault="00AF3695">
      <w:pPr>
        <w:pStyle w:val="TOC3"/>
        <w:tabs>
          <w:tab w:val="right" w:leader="dot" w:pos="9350"/>
        </w:tabs>
        <w:rPr>
          <w:rFonts w:asciiTheme="minorHAnsi" w:eastAsiaTheme="minorEastAsia" w:hAnsiTheme="minorHAnsi" w:cstheme="minorBidi"/>
          <w:noProof/>
          <w:sz w:val="22"/>
          <w:szCs w:val="22"/>
        </w:rPr>
      </w:pPr>
      <w:hyperlink w:anchor="_Toc370211854" w:history="1">
        <w:r w:rsidR="00442ABA" w:rsidRPr="00086CA5">
          <w:rPr>
            <w:rStyle w:val="Hyperlink"/>
            <w:noProof/>
            <w:lang w:val="ro-RO"/>
          </w:rPr>
          <w:t>Ocupare</w:t>
        </w:r>
        <w:r w:rsidR="00442ABA">
          <w:rPr>
            <w:noProof/>
            <w:webHidden/>
          </w:rPr>
          <w:tab/>
        </w:r>
        <w:r w:rsidR="00442ABA">
          <w:rPr>
            <w:noProof/>
            <w:webHidden/>
          </w:rPr>
          <w:fldChar w:fldCharType="begin"/>
        </w:r>
        <w:r w:rsidR="00442ABA">
          <w:rPr>
            <w:noProof/>
            <w:webHidden/>
          </w:rPr>
          <w:instrText xml:space="preserve"> PAGEREF _Toc370211854 \h </w:instrText>
        </w:r>
        <w:r w:rsidR="00442ABA">
          <w:rPr>
            <w:noProof/>
            <w:webHidden/>
          </w:rPr>
        </w:r>
        <w:r w:rsidR="00442ABA">
          <w:rPr>
            <w:noProof/>
            <w:webHidden/>
          </w:rPr>
          <w:fldChar w:fldCharType="separate"/>
        </w:r>
        <w:r w:rsidR="00442ABA">
          <w:rPr>
            <w:noProof/>
            <w:webHidden/>
          </w:rPr>
          <w:t>11</w:t>
        </w:r>
        <w:r w:rsidR="00442ABA">
          <w:rPr>
            <w:noProof/>
            <w:webHidden/>
          </w:rPr>
          <w:fldChar w:fldCharType="end"/>
        </w:r>
      </w:hyperlink>
    </w:p>
    <w:p w:rsidR="00442ABA" w:rsidRDefault="00AF3695">
      <w:pPr>
        <w:pStyle w:val="TOC3"/>
        <w:tabs>
          <w:tab w:val="right" w:leader="dot" w:pos="9350"/>
        </w:tabs>
        <w:rPr>
          <w:rFonts w:asciiTheme="minorHAnsi" w:eastAsiaTheme="minorEastAsia" w:hAnsiTheme="minorHAnsi" w:cstheme="minorBidi"/>
          <w:noProof/>
          <w:sz w:val="22"/>
          <w:szCs w:val="22"/>
        </w:rPr>
      </w:pPr>
      <w:hyperlink w:anchor="_Toc370211855" w:history="1">
        <w:r w:rsidR="00442ABA" w:rsidRPr="00086CA5">
          <w:rPr>
            <w:rStyle w:val="Hyperlink"/>
            <w:noProof/>
            <w:lang w:val="ro-RO"/>
          </w:rPr>
          <w:t>Antreprenoriat</w:t>
        </w:r>
        <w:r w:rsidR="00442ABA">
          <w:rPr>
            <w:noProof/>
            <w:webHidden/>
          </w:rPr>
          <w:tab/>
        </w:r>
        <w:r w:rsidR="00442ABA">
          <w:rPr>
            <w:noProof/>
            <w:webHidden/>
          </w:rPr>
          <w:fldChar w:fldCharType="begin"/>
        </w:r>
        <w:r w:rsidR="00442ABA">
          <w:rPr>
            <w:noProof/>
            <w:webHidden/>
          </w:rPr>
          <w:instrText xml:space="preserve"> PAGEREF _Toc370211855 \h </w:instrText>
        </w:r>
        <w:r w:rsidR="00442ABA">
          <w:rPr>
            <w:noProof/>
            <w:webHidden/>
          </w:rPr>
        </w:r>
        <w:r w:rsidR="00442ABA">
          <w:rPr>
            <w:noProof/>
            <w:webHidden/>
          </w:rPr>
          <w:fldChar w:fldCharType="separate"/>
        </w:r>
        <w:r w:rsidR="00442ABA">
          <w:rPr>
            <w:noProof/>
            <w:webHidden/>
          </w:rPr>
          <w:t>13</w:t>
        </w:r>
        <w:r w:rsidR="00442ABA">
          <w:rPr>
            <w:noProof/>
            <w:webHidden/>
          </w:rPr>
          <w:fldChar w:fldCharType="end"/>
        </w:r>
      </w:hyperlink>
    </w:p>
    <w:p w:rsidR="00442ABA" w:rsidRDefault="00AF3695">
      <w:pPr>
        <w:pStyle w:val="TOC3"/>
        <w:tabs>
          <w:tab w:val="right" w:leader="dot" w:pos="9350"/>
        </w:tabs>
        <w:rPr>
          <w:rFonts w:asciiTheme="minorHAnsi" w:eastAsiaTheme="minorEastAsia" w:hAnsiTheme="minorHAnsi" w:cstheme="minorBidi"/>
          <w:noProof/>
          <w:sz w:val="22"/>
          <w:szCs w:val="22"/>
        </w:rPr>
      </w:pPr>
      <w:hyperlink w:anchor="_Toc370211856" w:history="1">
        <w:r w:rsidR="00442ABA" w:rsidRPr="00086CA5">
          <w:rPr>
            <w:rStyle w:val="Hyperlink"/>
            <w:noProof/>
            <w:lang w:val="ro-RO"/>
          </w:rPr>
          <w:t>Rezultate așteptate</w:t>
        </w:r>
        <w:r w:rsidR="00442ABA">
          <w:rPr>
            <w:noProof/>
            <w:webHidden/>
          </w:rPr>
          <w:tab/>
        </w:r>
        <w:r w:rsidR="00442ABA">
          <w:rPr>
            <w:noProof/>
            <w:webHidden/>
          </w:rPr>
          <w:fldChar w:fldCharType="begin"/>
        </w:r>
        <w:r w:rsidR="00442ABA">
          <w:rPr>
            <w:noProof/>
            <w:webHidden/>
          </w:rPr>
          <w:instrText xml:space="preserve"> PAGEREF _Toc370211856 \h </w:instrText>
        </w:r>
        <w:r w:rsidR="00442ABA">
          <w:rPr>
            <w:noProof/>
            <w:webHidden/>
          </w:rPr>
        </w:r>
        <w:r w:rsidR="00442ABA">
          <w:rPr>
            <w:noProof/>
            <w:webHidden/>
          </w:rPr>
          <w:fldChar w:fldCharType="separate"/>
        </w:r>
        <w:r w:rsidR="00442ABA">
          <w:rPr>
            <w:noProof/>
            <w:webHidden/>
          </w:rPr>
          <w:t>14</w:t>
        </w:r>
        <w:r w:rsidR="00442ABA">
          <w:rPr>
            <w:noProof/>
            <w:webHidden/>
          </w:rPr>
          <w:fldChar w:fldCharType="end"/>
        </w:r>
      </w:hyperlink>
    </w:p>
    <w:p w:rsidR="00442ABA" w:rsidRDefault="00AF3695">
      <w:pPr>
        <w:pStyle w:val="TOC2"/>
        <w:tabs>
          <w:tab w:val="right" w:leader="dot" w:pos="9350"/>
        </w:tabs>
        <w:rPr>
          <w:rFonts w:asciiTheme="minorHAnsi" w:eastAsiaTheme="minorEastAsia" w:hAnsiTheme="minorHAnsi" w:cstheme="minorBidi"/>
          <w:b w:val="0"/>
          <w:bCs w:val="0"/>
          <w:noProof/>
          <w:sz w:val="22"/>
          <w:szCs w:val="22"/>
        </w:rPr>
      </w:pPr>
      <w:hyperlink w:anchor="_Toc370211857" w:history="1">
        <w:r w:rsidR="00442ABA" w:rsidRPr="00086CA5">
          <w:rPr>
            <w:rStyle w:val="Hyperlink"/>
            <w:noProof/>
          </w:rPr>
          <w:t>Educaţie formală, non-formală și cultură</w:t>
        </w:r>
        <w:r w:rsidR="00442ABA">
          <w:rPr>
            <w:noProof/>
            <w:webHidden/>
          </w:rPr>
          <w:tab/>
        </w:r>
        <w:r w:rsidR="00442ABA">
          <w:rPr>
            <w:noProof/>
            <w:webHidden/>
          </w:rPr>
          <w:fldChar w:fldCharType="begin"/>
        </w:r>
        <w:r w:rsidR="00442ABA">
          <w:rPr>
            <w:noProof/>
            <w:webHidden/>
          </w:rPr>
          <w:instrText xml:space="preserve"> PAGEREF _Toc370211857 \h </w:instrText>
        </w:r>
        <w:r w:rsidR="00442ABA">
          <w:rPr>
            <w:noProof/>
            <w:webHidden/>
          </w:rPr>
        </w:r>
        <w:r w:rsidR="00442ABA">
          <w:rPr>
            <w:noProof/>
            <w:webHidden/>
          </w:rPr>
          <w:fldChar w:fldCharType="separate"/>
        </w:r>
        <w:r w:rsidR="00442ABA">
          <w:rPr>
            <w:noProof/>
            <w:webHidden/>
          </w:rPr>
          <w:t>14</w:t>
        </w:r>
        <w:r w:rsidR="00442ABA">
          <w:rPr>
            <w:noProof/>
            <w:webHidden/>
          </w:rPr>
          <w:fldChar w:fldCharType="end"/>
        </w:r>
      </w:hyperlink>
    </w:p>
    <w:p w:rsidR="00442ABA" w:rsidRDefault="00AF3695">
      <w:pPr>
        <w:pStyle w:val="TOC3"/>
        <w:tabs>
          <w:tab w:val="right" w:leader="dot" w:pos="9350"/>
        </w:tabs>
        <w:rPr>
          <w:rFonts w:asciiTheme="minorHAnsi" w:eastAsiaTheme="minorEastAsia" w:hAnsiTheme="minorHAnsi" w:cstheme="minorBidi"/>
          <w:noProof/>
          <w:sz w:val="22"/>
          <w:szCs w:val="22"/>
        </w:rPr>
      </w:pPr>
      <w:hyperlink w:anchor="_Toc370211858" w:history="1">
        <w:r w:rsidR="00442ABA" w:rsidRPr="00086CA5">
          <w:rPr>
            <w:rStyle w:val="Hyperlink"/>
            <w:noProof/>
            <w:lang w:val="ro-RO"/>
          </w:rPr>
          <w:t>Tranziţia de la educa</w:t>
        </w:r>
        <w:r w:rsidR="00442ABA" w:rsidRPr="00086CA5">
          <w:rPr>
            <w:rStyle w:val="Hyperlink"/>
            <w:rFonts w:ascii="Cambria Math" w:hAnsi="Cambria Math" w:cs="Cambria Math"/>
            <w:noProof/>
            <w:lang w:val="ro-RO"/>
          </w:rPr>
          <w:t>ț</w:t>
        </w:r>
        <w:r w:rsidR="00442ABA" w:rsidRPr="00086CA5">
          <w:rPr>
            <w:rStyle w:val="Hyperlink"/>
            <w:noProof/>
            <w:lang w:val="ro-RO"/>
          </w:rPr>
          <w:t>ie la ocupare și corelarea dintre sisteme</w:t>
        </w:r>
        <w:r w:rsidR="00442ABA">
          <w:rPr>
            <w:noProof/>
            <w:webHidden/>
          </w:rPr>
          <w:tab/>
        </w:r>
        <w:r w:rsidR="00442ABA">
          <w:rPr>
            <w:noProof/>
            <w:webHidden/>
          </w:rPr>
          <w:fldChar w:fldCharType="begin"/>
        </w:r>
        <w:r w:rsidR="00442ABA">
          <w:rPr>
            <w:noProof/>
            <w:webHidden/>
          </w:rPr>
          <w:instrText xml:space="preserve"> PAGEREF _Toc370211858 \h </w:instrText>
        </w:r>
        <w:r w:rsidR="00442ABA">
          <w:rPr>
            <w:noProof/>
            <w:webHidden/>
          </w:rPr>
        </w:r>
        <w:r w:rsidR="00442ABA">
          <w:rPr>
            <w:noProof/>
            <w:webHidden/>
          </w:rPr>
          <w:fldChar w:fldCharType="separate"/>
        </w:r>
        <w:r w:rsidR="00442ABA">
          <w:rPr>
            <w:noProof/>
            <w:webHidden/>
          </w:rPr>
          <w:t>15</w:t>
        </w:r>
        <w:r w:rsidR="00442ABA">
          <w:rPr>
            <w:noProof/>
            <w:webHidden/>
          </w:rPr>
          <w:fldChar w:fldCharType="end"/>
        </w:r>
      </w:hyperlink>
    </w:p>
    <w:p w:rsidR="00442ABA" w:rsidRDefault="00AF3695">
      <w:pPr>
        <w:pStyle w:val="TOC3"/>
        <w:tabs>
          <w:tab w:val="right" w:leader="dot" w:pos="9350"/>
        </w:tabs>
        <w:rPr>
          <w:rFonts w:asciiTheme="minorHAnsi" w:eastAsiaTheme="minorEastAsia" w:hAnsiTheme="minorHAnsi" w:cstheme="minorBidi"/>
          <w:noProof/>
          <w:sz w:val="22"/>
          <w:szCs w:val="22"/>
        </w:rPr>
      </w:pPr>
      <w:hyperlink w:anchor="_Toc370211859" w:history="1">
        <w:r w:rsidR="00442ABA" w:rsidRPr="00086CA5">
          <w:rPr>
            <w:rStyle w:val="Hyperlink"/>
            <w:noProof/>
            <w:lang w:val="ro-RO"/>
          </w:rPr>
          <w:t>Educaţia non-formală și participarea la educaţie pe tot parcursul vieţii</w:t>
        </w:r>
        <w:r w:rsidR="00442ABA">
          <w:rPr>
            <w:noProof/>
            <w:webHidden/>
          </w:rPr>
          <w:tab/>
        </w:r>
        <w:r w:rsidR="00442ABA">
          <w:rPr>
            <w:noProof/>
            <w:webHidden/>
          </w:rPr>
          <w:fldChar w:fldCharType="begin"/>
        </w:r>
        <w:r w:rsidR="00442ABA">
          <w:rPr>
            <w:noProof/>
            <w:webHidden/>
          </w:rPr>
          <w:instrText xml:space="preserve"> PAGEREF _Toc370211859 \h </w:instrText>
        </w:r>
        <w:r w:rsidR="00442ABA">
          <w:rPr>
            <w:noProof/>
            <w:webHidden/>
          </w:rPr>
        </w:r>
        <w:r w:rsidR="00442ABA">
          <w:rPr>
            <w:noProof/>
            <w:webHidden/>
          </w:rPr>
          <w:fldChar w:fldCharType="separate"/>
        </w:r>
        <w:r w:rsidR="00442ABA">
          <w:rPr>
            <w:noProof/>
            <w:webHidden/>
          </w:rPr>
          <w:t>16</w:t>
        </w:r>
        <w:r w:rsidR="00442ABA">
          <w:rPr>
            <w:noProof/>
            <w:webHidden/>
          </w:rPr>
          <w:fldChar w:fldCharType="end"/>
        </w:r>
      </w:hyperlink>
    </w:p>
    <w:p w:rsidR="00442ABA" w:rsidRDefault="00AF3695">
      <w:pPr>
        <w:pStyle w:val="TOC3"/>
        <w:tabs>
          <w:tab w:val="right" w:leader="dot" w:pos="9350"/>
        </w:tabs>
        <w:rPr>
          <w:rFonts w:asciiTheme="minorHAnsi" w:eastAsiaTheme="minorEastAsia" w:hAnsiTheme="minorHAnsi" w:cstheme="minorBidi"/>
          <w:noProof/>
          <w:sz w:val="22"/>
          <w:szCs w:val="22"/>
        </w:rPr>
      </w:pPr>
      <w:hyperlink w:anchor="_Toc370211860" w:history="1">
        <w:r w:rsidR="00442ABA" w:rsidRPr="00086CA5">
          <w:rPr>
            <w:rStyle w:val="Hyperlink"/>
            <w:noProof/>
            <w:lang w:val="ro-RO"/>
          </w:rPr>
          <w:t>Tinerii și utilizarea TIC</w:t>
        </w:r>
        <w:r w:rsidR="00442ABA">
          <w:rPr>
            <w:noProof/>
            <w:webHidden/>
          </w:rPr>
          <w:tab/>
        </w:r>
        <w:r w:rsidR="00442ABA">
          <w:rPr>
            <w:noProof/>
            <w:webHidden/>
          </w:rPr>
          <w:fldChar w:fldCharType="begin"/>
        </w:r>
        <w:r w:rsidR="00442ABA">
          <w:rPr>
            <w:noProof/>
            <w:webHidden/>
          </w:rPr>
          <w:instrText xml:space="preserve"> PAGEREF _Toc370211860 \h </w:instrText>
        </w:r>
        <w:r w:rsidR="00442ABA">
          <w:rPr>
            <w:noProof/>
            <w:webHidden/>
          </w:rPr>
        </w:r>
        <w:r w:rsidR="00442ABA">
          <w:rPr>
            <w:noProof/>
            <w:webHidden/>
          </w:rPr>
          <w:fldChar w:fldCharType="separate"/>
        </w:r>
        <w:r w:rsidR="00442ABA">
          <w:rPr>
            <w:noProof/>
            <w:webHidden/>
          </w:rPr>
          <w:t>16</w:t>
        </w:r>
        <w:r w:rsidR="00442ABA">
          <w:rPr>
            <w:noProof/>
            <w:webHidden/>
          </w:rPr>
          <w:fldChar w:fldCharType="end"/>
        </w:r>
      </w:hyperlink>
    </w:p>
    <w:p w:rsidR="00442ABA" w:rsidRDefault="00AF3695">
      <w:pPr>
        <w:pStyle w:val="TOC3"/>
        <w:tabs>
          <w:tab w:val="right" w:leader="dot" w:pos="9350"/>
        </w:tabs>
        <w:rPr>
          <w:rFonts w:asciiTheme="minorHAnsi" w:eastAsiaTheme="minorEastAsia" w:hAnsiTheme="minorHAnsi" w:cstheme="minorBidi"/>
          <w:noProof/>
          <w:sz w:val="22"/>
          <w:szCs w:val="22"/>
        </w:rPr>
      </w:pPr>
      <w:hyperlink w:anchor="_Toc370211861" w:history="1">
        <w:r w:rsidR="00442ABA" w:rsidRPr="00086CA5">
          <w:rPr>
            <w:rStyle w:val="Hyperlink"/>
            <w:noProof/>
            <w:lang w:val="ro-RO"/>
          </w:rPr>
          <w:t>Cultură</w:t>
        </w:r>
        <w:r w:rsidR="00442ABA">
          <w:rPr>
            <w:noProof/>
            <w:webHidden/>
          </w:rPr>
          <w:tab/>
        </w:r>
        <w:r w:rsidR="00442ABA">
          <w:rPr>
            <w:noProof/>
            <w:webHidden/>
          </w:rPr>
          <w:fldChar w:fldCharType="begin"/>
        </w:r>
        <w:r w:rsidR="00442ABA">
          <w:rPr>
            <w:noProof/>
            <w:webHidden/>
          </w:rPr>
          <w:instrText xml:space="preserve"> PAGEREF _Toc370211861 \h </w:instrText>
        </w:r>
        <w:r w:rsidR="00442ABA">
          <w:rPr>
            <w:noProof/>
            <w:webHidden/>
          </w:rPr>
        </w:r>
        <w:r w:rsidR="00442ABA">
          <w:rPr>
            <w:noProof/>
            <w:webHidden/>
          </w:rPr>
          <w:fldChar w:fldCharType="separate"/>
        </w:r>
        <w:r w:rsidR="00442ABA">
          <w:rPr>
            <w:noProof/>
            <w:webHidden/>
          </w:rPr>
          <w:t>16</w:t>
        </w:r>
        <w:r w:rsidR="00442ABA">
          <w:rPr>
            <w:noProof/>
            <w:webHidden/>
          </w:rPr>
          <w:fldChar w:fldCharType="end"/>
        </w:r>
      </w:hyperlink>
    </w:p>
    <w:p w:rsidR="00442ABA" w:rsidRDefault="00AF3695">
      <w:pPr>
        <w:pStyle w:val="TOC3"/>
        <w:tabs>
          <w:tab w:val="right" w:leader="dot" w:pos="9350"/>
        </w:tabs>
        <w:rPr>
          <w:rFonts w:asciiTheme="minorHAnsi" w:eastAsiaTheme="minorEastAsia" w:hAnsiTheme="minorHAnsi" w:cstheme="minorBidi"/>
          <w:noProof/>
          <w:sz w:val="22"/>
          <w:szCs w:val="22"/>
        </w:rPr>
      </w:pPr>
      <w:hyperlink w:anchor="_Toc370211862" w:history="1">
        <w:r w:rsidR="00442ABA" w:rsidRPr="00086CA5">
          <w:rPr>
            <w:rStyle w:val="Hyperlink"/>
            <w:noProof/>
            <w:lang w:val="ro-RO"/>
          </w:rPr>
          <w:t>Rezultate așteptate</w:t>
        </w:r>
        <w:r w:rsidR="00442ABA">
          <w:rPr>
            <w:noProof/>
            <w:webHidden/>
          </w:rPr>
          <w:tab/>
        </w:r>
        <w:r w:rsidR="00442ABA">
          <w:rPr>
            <w:noProof/>
            <w:webHidden/>
          </w:rPr>
          <w:fldChar w:fldCharType="begin"/>
        </w:r>
        <w:r w:rsidR="00442ABA">
          <w:rPr>
            <w:noProof/>
            <w:webHidden/>
          </w:rPr>
          <w:instrText xml:space="preserve"> PAGEREF _Toc370211862 \h </w:instrText>
        </w:r>
        <w:r w:rsidR="00442ABA">
          <w:rPr>
            <w:noProof/>
            <w:webHidden/>
          </w:rPr>
        </w:r>
        <w:r w:rsidR="00442ABA">
          <w:rPr>
            <w:noProof/>
            <w:webHidden/>
          </w:rPr>
          <w:fldChar w:fldCharType="separate"/>
        </w:r>
        <w:r w:rsidR="00442ABA">
          <w:rPr>
            <w:noProof/>
            <w:webHidden/>
          </w:rPr>
          <w:t>17</w:t>
        </w:r>
        <w:r w:rsidR="00442ABA">
          <w:rPr>
            <w:noProof/>
            <w:webHidden/>
          </w:rPr>
          <w:fldChar w:fldCharType="end"/>
        </w:r>
      </w:hyperlink>
    </w:p>
    <w:p w:rsidR="00442ABA" w:rsidRDefault="00AF3695">
      <w:pPr>
        <w:pStyle w:val="TOC2"/>
        <w:tabs>
          <w:tab w:val="right" w:leader="dot" w:pos="9350"/>
        </w:tabs>
        <w:rPr>
          <w:rFonts w:asciiTheme="minorHAnsi" w:eastAsiaTheme="minorEastAsia" w:hAnsiTheme="minorHAnsi" w:cstheme="minorBidi"/>
          <w:b w:val="0"/>
          <w:bCs w:val="0"/>
          <w:noProof/>
          <w:sz w:val="22"/>
          <w:szCs w:val="22"/>
        </w:rPr>
      </w:pPr>
      <w:hyperlink w:anchor="_Toc370211863" w:history="1">
        <w:r w:rsidR="00442ABA" w:rsidRPr="00086CA5">
          <w:rPr>
            <w:rStyle w:val="Hyperlink"/>
            <w:noProof/>
            <w:lang w:val="ro-RO"/>
          </w:rPr>
          <w:t>Sănătate, sport și recreere</w:t>
        </w:r>
        <w:r w:rsidR="00442ABA">
          <w:rPr>
            <w:noProof/>
            <w:webHidden/>
          </w:rPr>
          <w:tab/>
        </w:r>
        <w:r w:rsidR="00442ABA">
          <w:rPr>
            <w:noProof/>
            <w:webHidden/>
          </w:rPr>
          <w:fldChar w:fldCharType="begin"/>
        </w:r>
        <w:r w:rsidR="00442ABA">
          <w:rPr>
            <w:noProof/>
            <w:webHidden/>
          </w:rPr>
          <w:instrText xml:space="preserve"> PAGEREF _Toc370211863 \h </w:instrText>
        </w:r>
        <w:r w:rsidR="00442ABA">
          <w:rPr>
            <w:noProof/>
            <w:webHidden/>
          </w:rPr>
        </w:r>
        <w:r w:rsidR="00442ABA">
          <w:rPr>
            <w:noProof/>
            <w:webHidden/>
          </w:rPr>
          <w:fldChar w:fldCharType="separate"/>
        </w:r>
        <w:r w:rsidR="00442ABA">
          <w:rPr>
            <w:noProof/>
            <w:webHidden/>
          </w:rPr>
          <w:t>17</w:t>
        </w:r>
        <w:r w:rsidR="00442ABA">
          <w:rPr>
            <w:noProof/>
            <w:webHidden/>
          </w:rPr>
          <w:fldChar w:fldCharType="end"/>
        </w:r>
      </w:hyperlink>
    </w:p>
    <w:p w:rsidR="00442ABA" w:rsidRDefault="00AF3695">
      <w:pPr>
        <w:pStyle w:val="TOC3"/>
        <w:tabs>
          <w:tab w:val="right" w:leader="dot" w:pos="9350"/>
        </w:tabs>
        <w:rPr>
          <w:rFonts w:asciiTheme="minorHAnsi" w:eastAsiaTheme="minorEastAsia" w:hAnsiTheme="minorHAnsi" w:cstheme="minorBidi"/>
          <w:noProof/>
          <w:sz w:val="22"/>
          <w:szCs w:val="22"/>
        </w:rPr>
      </w:pPr>
      <w:hyperlink w:anchor="_Toc370211864" w:history="1">
        <w:r w:rsidR="00442ABA" w:rsidRPr="00086CA5">
          <w:rPr>
            <w:rStyle w:val="Hyperlink"/>
            <w:noProof/>
            <w:lang w:val="ro-RO"/>
          </w:rPr>
          <w:t>Sănătate</w:t>
        </w:r>
        <w:r w:rsidR="00442ABA">
          <w:rPr>
            <w:noProof/>
            <w:webHidden/>
          </w:rPr>
          <w:tab/>
        </w:r>
        <w:r w:rsidR="00442ABA">
          <w:rPr>
            <w:noProof/>
            <w:webHidden/>
          </w:rPr>
          <w:fldChar w:fldCharType="begin"/>
        </w:r>
        <w:r w:rsidR="00442ABA">
          <w:rPr>
            <w:noProof/>
            <w:webHidden/>
          </w:rPr>
          <w:instrText xml:space="preserve"> PAGEREF _Toc370211864 \h </w:instrText>
        </w:r>
        <w:r w:rsidR="00442ABA">
          <w:rPr>
            <w:noProof/>
            <w:webHidden/>
          </w:rPr>
        </w:r>
        <w:r w:rsidR="00442ABA">
          <w:rPr>
            <w:noProof/>
            <w:webHidden/>
          </w:rPr>
          <w:fldChar w:fldCharType="separate"/>
        </w:r>
        <w:r w:rsidR="00442ABA">
          <w:rPr>
            <w:noProof/>
            <w:webHidden/>
          </w:rPr>
          <w:t>17</w:t>
        </w:r>
        <w:r w:rsidR="00442ABA">
          <w:rPr>
            <w:noProof/>
            <w:webHidden/>
          </w:rPr>
          <w:fldChar w:fldCharType="end"/>
        </w:r>
      </w:hyperlink>
    </w:p>
    <w:p w:rsidR="00442ABA" w:rsidRDefault="00AF3695">
      <w:pPr>
        <w:pStyle w:val="TOC3"/>
        <w:tabs>
          <w:tab w:val="right" w:leader="dot" w:pos="9350"/>
        </w:tabs>
        <w:rPr>
          <w:rFonts w:asciiTheme="minorHAnsi" w:eastAsiaTheme="minorEastAsia" w:hAnsiTheme="minorHAnsi" w:cstheme="minorBidi"/>
          <w:noProof/>
          <w:sz w:val="22"/>
          <w:szCs w:val="22"/>
        </w:rPr>
      </w:pPr>
      <w:hyperlink w:anchor="_Toc370211865" w:history="1">
        <w:r w:rsidR="00442ABA" w:rsidRPr="00086CA5">
          <w:rPr>
            <w:rStyle w:val="Hyperlink"/>
            <w:noProof/>
            <w:lang w:val="ro-RO"/>
          </w:rPr>
          <w:t>Sport și recreere</w:t>
        </w:r>
        <w:r w:rsidR="00442ABA">
          <w:rPr>
            <w:noProof/>
            <w:webHidden/>
          </w:rPr>
          <w:tab/>
        </w:r>
        <w:r w:rsidR="00442ABA">
          <w:rPr>
            <w:noProof/>
            <w:webHidden/>
          </w:rPr>
          <w:fldChar w:fldCharType="begin"/>
        </w:r>
        <w:r w:rsidR="00442ABA">
          <w:rPr>
            <w:noProof/>
            <w:webHidden/>
          </w:rPr>
          <w:instrText xml:space="preserve"> PAGEREF _Toc370211865 \h </w:instrText>
        </w:r>
        <w:r w:rsidR="00442ABA">
          <w:rPr>
            <w:noProof/>
            <w:webHidden/>
          </w:rPr>
        </w:r>
        <w:r w:rsidR="00442ABA">
          <w:rPr>
            <w:noProof/>
            <w:webHidden/>
          </w:rPr>
          <w:fldChar w:fldCharType="separate"/>
        </w:r>
        <w:r w:rsidR="00442ABA">
          <w:rPr>
            <w:noProof/>
            <w:webHidden/>
          </w:rPr>
          <w:t>18</w:t>
        </w:r>
        <w:r w:rsidR="00442ABA">
          <w:rPr>
            <w:noProof/>
            <w:webHidden/>
          </w:rPr>
          <w:fldChar w:fldCharType="end"/>
        </w:r>
      </w:hyperlink>
    </w:p>
    <w:p w:rsidR="00442ABA" w:rsidRDefault="00AF3695">
      <w:pPr>
        <w:pStyle w:val="TOC3"/>
        <w:tabs>
          <w:tab w:val="right" w:leader="dot" w:pos="9350"/>
        </w:tabs>
        <w:rPr>
          <w:rFonts w:asciiTheme="minorHAnsi" w:eastAsiaTheme="minorEastAsia" w:hAnsiTheme="minorHAnsi" w:cstheme="minorBidi"/>
          <w:noProof/>
          <w:sz w:val="22"/>
          <w:szCs w:val="22"/>
        </w:rPr>
      </w:pPr>
      <w:hyperlink w:anchor="_Toc370211866" w:history="1">
        <w:r w:rsidR="00442ABA" w:rsidRPr="00086CA5">
          <w:rPr>
            <w:rStyle w:val="Hyperlink"/>
            <w:noProof/>
            <w:lang w:val="ro-RO"/>
          </w:rPr>
          <w:t>Rezultate așteptate</w:t>
        </w:r>
        <w:r w:rsidR="00442ABA">
          <w:rPr>
            <w:noProof/>
            <w:webHidden/>
          </w:rPr>
          <w:tab/>
        </w:r>
        <w:r w:rsidR="00442ABA">
          <w:rPr>
            <w:noProof/>
            <w:webHidden/>
          </w:rPr>
          <w:fldChar w:fldCharType="begin"/>
        </w:r>
        <w:r w:rsidR="00442ABA">
          <w:rPr>
            <w:noProof/>
            <w:webHidden/>
          </w:rPr>
          <w:instrText xml:space="preserve"> PAGEREF _Toc370211866 \h </w:instrText>
        </w:r>
        <w:r w:rsidR="00442ABA">
          <w:rPr>
            <w:noProof/>
            <w:webHidden/>
          </w:rPr>
        </w:r>
        <w:r w:rsidR="00442ABA">
          <w:rPr>
            <w:noProof/>
            <w:webHidden/>
          </w:rPr>
          <w:fldChar w:fldCharType="separate"/>
        </w:r>
        <w:r w:rsidR="00442ABA">
          <w:rPr>
            <w:noProof/>
            <w:webHidden/>
          </w:rPr>
          <w:t>19</w:t>
        </w:r>
        <w:r w:rsidR="00442ABA">
          <w:rPr>
            <w:noProof/>
            <w:webHidden/>
          </w:rPr>
          <w:fldChar w:fldCharType="end"/>
        </w:r>
      </w:hyperlink>
    </w:p>
    <w:p w:rsidR="00442ABA" w:rsidRDefault="00AF3695">
      <w:pPr>
        <w:pStyle w:val="TOC2"/>
        <w:tabs>
          <w:tab w:val="right" w:leader="dot" w:pos="9350"/>
        </w:tabs>
        <w:rPr>
          <w:rFonts w:asciiTheme="minorHAnsi" w:eastAsiaTheme="minorEastAsia" w:hAnsiTheme="minorHAnsi" w:cstheme="minorBidi"/>
          <w:b w:val="0"/>
          <w:bCs w:val="0"/>
          <w:noProof/>
          <w:sz w:val="22"/>
          <w:szCs w:val="22"/>
        </w:rPr>
      </w:pPr>
      <w:hyperlink w:anchor="_Toc370211867" w:history="1">
        <w:r w:rsidR="00442ABA" w:rsidRPr="00086CA5">
          <w:rPr>
            <w:rStyle w:val="Hyperlink"/>
            <w:noProof/>
            <w:lang w:val="ro-RO"/>
          </w:rPr>
          <w:t>Participare și voluntariat</w:t>
        </w:r>
        <w:r w:rsidR="00442ABA">
          <w:rPr>
            <w:noProof/>
            <w:webHidden/>
          </w:rPr>
          <w:tab/>
        </w:r>
        <w:r w:rsidR="00442ABA">
          <w:rPr>
            <w:noProof/>
            <w:webHidden/>
          </w:rPr>
          <w:fldChar w:fldCharType="begin"/>
        </w:r>
        <w:r w:rsidR="00442ABA">
          <w:rPr>
            <w:noProof/>
            <w:webHidden/>
          </w:rPr>
          <w:instrText xml:space="preserve"> PAGEREF _Toc370211867 \h </w:instrText>
        </w:r>
        <w:r w:rsidR="00442ABA">
          <w:rPr>
            <w:noProof/>
            <w:webHidden/>
          </w:rPr>
        </w:r>
        <w:r w:rsidR="00442ABA">
          <w:rPr>
            <w:noProof/>
            <w:webHidden/>
          </w:rPr>
          <w:fldChar w:fldCharType="separate"/>
        </w:r>
        <w:r w:rsidR="00442ABA">
          <w:rPr>
            <w:noProof/>
            <w:webHidden/>
          </w:rPr>
          <w:t>20</w:t>
        </w:r>
        <w:r w:rsidR="00442ABA">
          <w:rPr>
            <w:noProof/>
            <w:webHidden/>
          </w:rPr>
          <w:fldChar w:fldCharType="end"/>
        </w:r>
      </w:hyperlink>
    </w:p>
    <w:p w:rsidR="00442ABA" w:rsidRDefault="00AF3695">
      <w:pPr>
        <w:pStyle w:val="TOC3"/>
        <w:tabs>
          <w:tab w:val="right" w:leader="dot" w:pos="9350"/>
        </w:tabs>
        <w:rPr>
          <w:rFonts w:asciiTheme="minorHAnsi" w:eastAsiaTheme="minorEastAsia" w:hAnsiTheme="minorHAnsi" w:cstheme="minorBidi"/>
          <w:noProof/>
          <w:sz w:val="22"/>
          <w:szCs w:val="22"/>
        </w:rPr>
      </w:pPr>
      <w:hyperlink w:anchor="_Toc370211868" w:history="1">
        <w:r w:rsidR="00442ABA" w:rsidRPr="00086CA5">
          <w:rPr>
            <w:rStyle w:val="Hyperlink"/>
            <w:noProof/>
            <w:lang w:val="ro-RO"/>
          </w:rPr>
          <w:t>Rezultate așteptate</w:t>
        </w:r>
        <w:r w:rsidR="00442ABA">
          <w:rPr>
            <w:noProof/>
            <w:webHidden/>
          </w:rPr>
          <w:tab/>
        </w:r>
        <w:r w:rsidR="00442ABA">
          <w:rPr>
            <w:noProof/>
            <w:webHidden/>
          </w:rPr>
          <w:fldChar w:fldCharType="begin"/>
        </w:r>
        <w:r w:rsidR="00442ABA">
          <w:rPr>
            <w:noProof/>
            <w:webHidden/>
          </w:rPr>
          <w:instrText xml:space="preserve"> PAGEREF _Toc370211868 \h </w:instrText>
        </w:r>
        <w:r w:rsidR="00442ABA">
          <w:rPr>
            <w:noProof/>
            <w:webHidden/>
          </w:rPr>
        </w:r>
        <w:r w:rsidR="00442ABA">
          <w:rPr>
            <w:noProof/>
            <w:webHidden/>
          </w:rPr>
          <w:fldChar w:fldCharType="separate"/>
        </w:r>
        <w:r w:rsidR="00442ABA">
          <w:rPr>
            <w:noProof/>
            <w:webHidden/>
          </w:rPr>
          <w:t>20</w:t>
        </w:r>
        <w:r w:rsidR="00442ABA">
          <w:rPr>
            <w:noProof/>
            <w:webHidden/>
          </w:rPr>
          <w:fldChar w:fldCharType="end"/>
        </w:r>
      </w:hyperlink>
    </w:p>
    <w:p w:rsidR="00442ABA" w:rsidRDefault="00AF3695">
      <w:pPr>
        <w:pStyle w:val="TOC2"/>
        <w:tabs>
          <w:tab w:val="right" w:leader="dot" w:pos="9350"/>
        </w:tabs>
        <w:rPr>
          <w:rFonts w:asciiTheme="minorHAnsi" w:eastAsiaTheme="minorEastAsia" w:hAnsiTheme="minorHAnsi" w:cstheme="minorBidi"/>
          <w:b w:val="0"/>
          <w:bCs w:val="0"/>
          <w:noProof/>
          <w:sz w:val="22"/>
          <w:szCs w:val="22"/>
        </w:rPr>
      </w:pPr>
      <w:hyperlink w:anchor="_Toc370211869" w:history="1">
        <w:r w:rsidR="00442ABA" w:rsidRPr="00086CA5">
          <w:rPr>
            <w:rStyle w:val="Hyperlink"/>
            <w:noProof/>
          </w:rPr>
          <w:t>Categorii de tineri afectate de excluziune socială</w:t>
        </w:r>
        <w:r w:rsidR="00442ABA">
          <w:rPr>
            <w:noProof/>
            <w:webHidden/>
          </w:rPr>
          <w:tab/>
        </w:r>
        <w:r w:rsidR="00442ABA">
          <w:rPr>
            <w:noProof/>
            <w:webHidden/>
          </w:rPr>
          <w:fldChar w:fldCharType="begin"/>
        </w:r>
        <w:r w:rsidR="00442ABA">
          <w:rPr>
            <w:noProof/>
            <w:webHidden/>
          </w:rPr>
          <w:instrText xml:space="preserve"> PAGEREF _Toc370211869 \h </w:instrText>
        </w:r>
        <w:r w:rsidR="00442ABA">
          <w:rPr>
            <w:noProof/>
            <w:webHidden/>
          </w:rPr>
        </w:r>
        <w:r w:rsidR="00442ABA">
          <w:rPr>
            <w:noProof/>
            <w:webHidden/>
          </w:rPr>
          <w:fldChar w:fldCharType="separate"/>
        </w:r>
        <w:r w:rsidR="00442ABA">
          <w:rPr>
            <w:noProof/>
            <w:webHidden/>
          </w:rPr>
          <w:t>21</w:t>
        </w:r>
        <w:r w:rsidR="00442ABA">
          <w:rPr>
            <w:noProof/>
            <w:webHidden/>
          </w:rPr>
          <w:fldChar w:fldCharType="end"/>
        </w:r>
      </w:hyperlink>
    </w:p>
    <w:p w:rsidR="00442ABA" w:rsidRDefault="00AF3695">
      <w:pPr>
        <w:pStyle w:val="TOC3"/>
        <w:tabs>
          <w:tab w:val="right" w:leader="dot" w:pos="9350"/>
        </w:tabs>
        <w:rPr>
          <w:rFonts w:asciiTheme="minorHAnsi" w:eastAsiaTheme="minorEastAsia" w:hAnsiTheme="minorHAnsi" w:cstheme="minorBidi"/>
          <w:noProof/>
          <w:sz w:val="22"/>
          <w:szCs w:val="22"/>
        </w:rPr>
      </w:pPr>
      <w:hyperlink w:anchor="_Toc370211870" w:history="1">
        <w:r w:rsidR="00442ABA" w:rsidRPr="00086CA5">
          <w:rPr>
            <w:rStyle w:val="Hyperlink"/>
            <w:noProof/>
            <w:lang w:val="ro-RO"/>
          </w:rPr>
          <w:t>Rezultate așteptate</w:t>
        </w:r>
        <w:r w:rsidR="00442ABA">
          <w:rPr>
            <w:noProof/>
            <w:webHidden/>
          </w:rPr>
          <w:tab/>
        </w:r>
        <w:r w:rsidR="00442ABA">
          <w:rPr>
            <w:noProof/>
            <w:webHidden/>
          </w:rPr>
          <w:fldChar w:fldCharType="begin"/>
        </w:r>
        <w:r w:rsidR="00442ABA">
          <w:rPr>
            <w:noProof/>
            <w:webHidden/>
          </w:rPr>
          <w:instrText xml:space="preserve"> PAGEREF _Toc370211870 \h </w:instrText>
        </w:r>
        <w:r w:rsidR="00442ABA">
          <w:rPr>
            <w:noProof/>
            <w:webHidden/>
          </w:rPr>
        </w:r>
        <w:r w:rsidR="00442ABA">
          <w:rPr>
            <w:noProof/>
            <w:webHidden/>
          </w:rPr>
          <w:fldChar w:fldCharType="separate"/>
        </w:r>
        <w:r w:rsidR="00442ABA">
          <w:rPr>
            <w:noProof/>
            <w:webHidden/>
          </w:rPr>
          <w:t>23</w:t>
        </w:r>
        <w:r w:rsidR="00442ABA">
          <w:rPr>
            <w:noProof/>
            <w:webHidden/>
          </w:rPr>
          <w:fldChar w:fldCharType="end"/>
        </w:r>
      </w:hyperlink>
    </w:p>
    <w:p w:rsidR="00442ABA" w:rsidRDefault="00AF3695">
      <w:pPr>
        <w:pStyle w:val="TOC1"/>
        <w:tabs>
          <w:tab w:val="right" w:leader="dot" w:pos="9350"/>
        </w:tabs>
        <w:rPr>
          <w:rFonts w:asciiTheme="minorHAnsi" w:eastAsiaTheme="minorEastAsia" w:hAnsiTheme="minorHAnsi" w:cstheme="minorBidi"/>
          <w:b w:val="0"/>
          <w:bCs w:val="0"/>
          <w:caps w:val="0"/>
          <w:noProof/>
          <w:sz w:val="22"/>
          <w:szCs w:val="22"/>
        </w:rPr>
      </w:pPr>
      <w:hyperlink w:anchor="_Toc370211871" w:history="1">
        <w:r w:rsidR="00442ABA" w:rsidRPr="00086CA5">
          <w:rPr>
            <w:rStyle w:val="Hyperlink"/>
            <w:noProof/>
            <w:lang w:val="ro-RO"/>
          </w:rPr>
          <w:t>Obiectivul general al Strategiei:</w:t>
        </w:r>
        <w:r w:rsidR="00442ABA">
          <w:rPr>
            <w:noProof/>
            <w:webHidden/>
          </w:rPr>
          <w:tab/>
        </w:r>
        <w:r w:rsidR="00442ABA">
          <w:rPr>
            <w:noProof/>
            <w:webHidden/>
          </w:rPr>
          <w:fldChar w:fldCharType="begin"/>
        </w:r>
        <w:r w:rsidR="00442ABA">
          <w:rPr>
            <w:noProof/>
            <w:webHidden/>
          </w:rPr>
          <w:instrText xml:space="preserve"> PAGEREF _Toc370211871 \h </w:instrText>
        </w:r>
        <w:r w:rsidR="00442ABA">
          <w:rPr>
            <w:noProof/>
            <w:webHidden/>
          </w:rPr>
        </w:r>
        <w:r w:rsidR="00442ABA">
          <w:rPr>
            <w:noProof/>
            <w:webHidden/>
          </w:rPr>
          <w:fldChar w:fldCharType="separate"/>
        </w:r>
        <w:r w:rsidR="00442ABA">
          <w:rPr>
            <w:noProof/>
            <w:webHidden/>
          </w:rPr>
          <w:t>24</w:t>
        </w:r>
        <w:r w:rsidR="00442ABA">
          <w:rPr>
            <w:noProof/>
            <w:webHidden/>
          </w:rPr>
          <w:fldChar w:fldCharType="end"/>
        </w:r>
      </w:hyperlink>
    </w:p>
    <w:p w:rsidR="00442ABA" w:rsidRDefault="00AF3695">
      <w:pPr>
        <w:pStyle w:val="TOC1"/>
        <w:tabs>
          <w:tab w:val="right" w:leader="dot" w:pos="9350"/>
        </w:tabs>
        <w:rPr>
          <w:rFonts w:asciiTheme="minorHAnsi" w:eastAsiaTheme="minorEastAsia" w:hAnsiTheme="minorHAnsi" w:cstheme="minorBidi"/>
          <w:b w:val="0"/>
          <w:bCs w:val="0"/>
          <w:caps w:val="0"/>
          <w:noProof/>
          <w:sz w:val="22"/>
          <w:szCs w:val="22"/>
        </w:rPr>
      </w:pPr>
      <w:hyperlink w:anchor="_Toc370211872" w:history="1">
        <w:r w:rsidR="00442ABA" w:rsidRPr="00086CA5">
          <w:rPr>
            <w:rStyle w:val="Hyperlink"/>
            <w:noProof/>
            <w:lang w:val="ro-RO"/>
          </w:rPr>
          <w:t>Principiile Strategiei:</w:t>
        </w:r>
        <w:r w:rsidR="00442ABA">
          <w:rPr>
            <w:noProof/>
            <w:webHidden/>
          </w:rPr>
          <w:tab/>
        </w:r>
        <w:r w:rsidR="00442ABA">
          <w:rPr>
            <w:noProof/>
            <w:webHidden/>
          </w:rPr>
          <w:fldChar w:fldCharType="begin"/>
        </w:r>
        <w:r w:rsidR="00442ABA">
          <w:rPr>
            <w:noProof/>
            <w:webHidden/>
          </w:rPr>
          <w:instrText xml:space="preserve"> PAGEREF _Toc370211872 \h </w:instrText>
        </w:r>
        <w:r w:rsidR="00442ABA">
          <w:rPr>
            <w:noProof/>
            <w:webHidden/>
          </w:rPr>
        </w:r>
        <w:r w:rsidR="00442ABA">
          <w:rPr>
            <w:noProof/>
            <w:webHidden/>
          </w:rPr>
          <w:fldChar w:fldCharType="separate"/>
        </w:r>
        <w:r w:rsidR="00442ABA">
          <w:rPr>
            <w:noProof/>
            <w:webHidden/>
          </w:rPr>
          <w:t>24</w:t>
        </w:r>
        <w:r w:rsidR="00442ABA">
          <w:rPr>
            <w:noProof/>
            <w:webHidden/>
          </w:rPr>
          <w:fldChar w:fldCharType="end"/>
        </w:r>
      </w:hyperlink>
    </w:p>
    <w:p w:rsidR="00442ABA" w:rsidRDefault="00AF3695">
      <w:pPr>
        <w:pStyle w:val="TOC1"/>
        <w:tabs>
          <w:tab w:val="right" w:leader="dot" w:pos="9350"/>
        </w:tabs>
        <w:rPr>
          <w:rFonts w:asciiTheme="minorHAnsi" w:eastAsiaTheme="minorEastAsia" w:hAnsiTheme="minorHAnsi" w:cstheme="minorBidi"/>
          <w:b w:val="0"/>
          <w:bCs w:val="0"/>
          <w:caps w:val="0"/>
          <w:noProof/>
          <w:sz w:val="22"/>
          <w:szCs w:val="22"/>
        </w:rPr>
      </w:pPr>
      <w:hyperlink w:anchor="_Toc370211873" w:history="1">
        <w:r w:rsidR="00442ABA" w:rsidRPr="00086CA5">
          <w:rPr>
            <w:rStyle w:val="Hyperlink"/>
            <w:noProof/>
            <w:lang w:val="ro-RO"/>
          </w:rPr>
          <w:t>Domenii principale de intervenţie, obiective specifice şi direcţii de acţiune</w:t>
        </w:r>
        <w:r w:rsidR="00442ABA">
          <w:rPr>
            <w:noProof/>
            <w:webHidden/>
          </w:rPr>
          <w:tab/>
        </w:r>
        <w:r w:rsidR="00442ABA">
          <w:rPr>
            <w:noProof/>
            <w:webHidden/>
          </w:rPr>
          <w:fldChar w:fldCharType="begin"/>
        </w:r>
        <w:r w:rsidR="00442ABA">
          <w:rPr>
            <w:noProof/>
            <w:webHidden/>
          </w:rPr>
          <w:instrText xml:space="preserve"> PAGEREF _Toc370211873 \h </w:instrText>
        </w:r>
        <w:r w:rsidR="00442ABA">
          <w:rPr>
            <w:noProof/>
            <w:webHidden/>
          </w:rPr>
        </w:r>
        <w:r w:rsidR="00442ABA">
          <w:rPr>
            <w:noProof/>
            <w:webHidden/>
          </w:rPr>
          <w:fldChar w:fldCharType="separate"/>
        </w:r>
        <w:r w:rsidR="00442ABA">
          <w:rPr>
            <w:noProof/>
            <w:webHidden/>
          </w:rPr>
          <w:t>25</w:t>
        </w:r>
        <w:r w:rsidR="00442ABA">
          <w:rPr>
            <w:noProof/>
            <w:webHidden/>
          </w:rPr>
          <w:fldChar w:fldCharType="end"/>
        </w:r>
      </w:hyperlink>
    </w:p>
    <w:p w:rsidR="00442ABA" w:rsidRDefault="00AF3695">
      <w:pPr>
        <w:pStyle w:val="TOC2"/>
        <w:tabs>
          <w:tab w:val="left" w:pos="440"/>
          <w:tab w:val="right" w:leader="dot" w:pos="9350"/>
        </w:tabs>
        <w:rPr>
          <w:rFonts w:asciiTheme="minorHAnsi" w:eastAsiaTheme="minorEastAsia" w:hAnsiTheme="minorHAnsi" w:cstheme="minorBidi"/>
          <w:b w:val="0"/>
          <w:bCs w:val="0"/>
          <w:noProof/>
          <w:sz w:val="22"/>
          <w:szCs w:val="22"/>
        </w:rPr>
      </w:pPr>
      <w:hyperlink w:anchor="_Toc370211874" w:history="1">
        <w:r w:rsidR="00442ABA" w:rsidRPr="00086CA5">
          <w:rPr>
            <w:rStyle w:val="Hyperlink"/>
            <w:rFonts w:cs="Times New Roman"/>
            <w:noProof/>
            <w:lang w:val="ro-RO"/>
          </w:rPr>
          <w:t>1.</w:t>
        </w:r>
        <w:r w:rsidR="00442ABA">
          <w:rPr>
            <w:rFonts w:asciiTheme="minorHAnsi" w:eastAsiaTheme="minorEastAsia" w:hAnsiTheme="minorHAnsi" w:cstheme="minorBidi"/>
            <w:b w:val="0"/>
            <w:bCs w:val="0"/>
            <w:noProof/>
            <w:sz w:val="22"/>
            <w:szCs w:val="22"/>
          </w:rPr>
          <w:tab/>
        </w:r>
        <w:r w:rsidR="00442ABA" w:rsidRPr="00086CA5">
          <w:rPr>
            <w:rStyle w:val="Hyperlink"/>
            <w:noProof/>
            <w:lang w:val="ro-RO"/>
          </w:rPr>
          <w:t>Cultură şi Educaţie Non-formală</w:t>
        </w:r>
        <w:r w:rsidR="00442ABA">
          <w:rPr>
            <w:noProof/>
            <w:webHidden/>
          </w:rPr>
          <w:tab/>
        </w:r>
        <w:r w:rsidR="00442ABA">
          <w:rPr>
            <w:noProof/>
            <w:webHidden/>
          </w:rPr>
          <w:fldChar w:fldCharType="begin"/>
        </w:r>
        <w:r w:rsidR="00442ABA">
          <w:rPr>
            <w:noProof/>
            <w:webHidden/>
          </w:rPr>
          <w:instrText xml:space="preserve"> PAGEREF _Toc370211874 \h </w:instrText>
        </w:r>
        <w:r w:rsidR="00442ABA">
          <w:rPr>
            <w:noProof/>
            <w:webHidden/>
          </w:rPr>
        </w:r>
        <w:r w:rsidR="00442ABA">
          <w:rPr>
            <w:noProof/>
            <w:webHidden/>
          </w:rPr>
          <w:fldChar w:fldCharType="separate"/>
        </w:r>
        <w:r w:rsidR="00442ABA">
          <w:rPr>
            <w:noProof/>
            <w:webHidden/>
          </w:rPr>
          <w:t>25</w:t>
        </w:r>
        <w:r w:rsidR="00442ABA">
          <w:rPr>
            <w:noProof/>
            <w:webHidden/>
          </w:rPr>
          <w:fldChar w:fldCharType="end"/>
        </w:r>
      </w:hyperlink>
    </w:p>
    <w:p w:rsidR="00442ABA" w:rsidRDefault="00AF3695">
      <w:pPr>
        <w:pStyle w:val="TOC3"/>
        <w:tabs>
          <w:tab w:val="right" w:leader="dot" w:pos="9350"/>
        </w:tabs>
        <w:rPr>
          <w:rFonts w:asciiTheme="minorHAnsi" w:eastAsiaTheme="minorEastAsia" w:hAnsiTheme="minorHAnsi" w:cstheme="minorBidi"/>
          <w:noProof/>
          <w:sz w:val="22"/>
          <w:szCs w:val="22"/>
        </w:rPr>
      </w:pPr>
      <w:hyperlink w:anchor="_Toc370211875" w:history="1">
        <w:r w:rsidR="00442ABA" w:rsidRPr="00086CA5">
          <w:rPr>
            <w:rStyle w:val="Hyperlink"/>
            <w:noProof/>
            <w:lang w:val="ro-RO"/>
          </w:rPr>
          <w:t>Obiective specifice şi direcţii de acţiune</w:t>
        </w:r>
        <w:r w:rsidR="00442ABA">
          <w:rPr>
            <w:noProof/>
            <w:webHidden/>
          </w:rPr>
          <w:tab/>
        </w:r>
        <w:r w:rsidR="00442ABA">
          <w:rPr>
            <w:noProof/>
            <w:webHidden/>
          </w:rPr>
          <w:fldChar w:fldCharType="begin"/>
        </w:r>
        <w:r w:rsidR="00442ABA">
          <w:rPr>
            <w:noProof/>
            <w:webHidden/>
          </w:rPr>
          <w:instrText xml:space="preserve"> PAGEREF _Toc370211875 \h </w:instrText>
        </w:r>
        <w:r w:rsidR="00442ABA">
          <w:rPr>
            <w:noProof/>
            <w:webHidden/>
          </w:rPr>
        </w:r>
        <w:r w:rsidR="00442ABA">
          <w:rPr>
            <w:noProof/>
            <w:webHidden/>
          </w:rPr>
          <w:fldChar w:fldCharType="separate"/>
        </w:r>
        <w:r w:rsidR="00442ABA">
          <w:rPr>
            <w:noProof/>
            <w:webHidden/>
          </w:rPr>
          <w:t>25</w:t>
        </w:r>
        <w:r w:rsidR="00442ABA">
          <w:rPr>
            <w:noProof/>
            <w:webHidden/>
          </w:rPr>
          <w:fldChar w:fldCharType="end"/>
        </w:r>
      </w:hyperlink>
    </w:p>
    <w:p w:rsidR="00442ABA" w:rsidRDefault="00AF3695">
      <w:pPr>
        <w:pStyle w:val="TOC2"/>
        <w:tabs>
          <w:tab w:val="left" w:pos="440"/>
          <w:tab w:val="right" w:leader="dot" w:pos="9350"/>
        </w:tabs>
        <w:rPr>
          <w:rFonts w:asciiTheme="minorHAnsi" w:eastAsiaTheme="minorEastAsia" w:hAnsiTheme="minorHAnsi" w:cstheme="minorBidi"/>
          <w:b w:val="0"/>
          <w:bCs w:val="0"/>
          <w:noProof/>
          <w:sz w:val="22"/>
          <w:szCs w:val="22"/>
        </w:rPr>
      </w:pPr>
      <w:hyperlink w:anchor="_Toc370211876" w:history="1">
        <w:r w:rsidR="00442ABA" w:rsidRPr="00086CA5">
          <w:rPr>
            <w:rStyle w:val="Hyperlink"/>
            <w:rFonts w:cs="Times New Roman"/>
            <w:noProof/>
            <w:lang w:val="ro-RO"/>
          </w:rPr>
          <w:t>2.</w:t>
        </w:r>
        <w:r w:rsidR="00442ABA">
          <w:rPr>
            <w:rFonts w:asciiTheme="minorHAnsi" w:eastAsiaTheme="minorEastAsia" w:hAnsiTheme="minorHAnsi" w:cstheme="minorBidi"/>
            <w:b w:val="0"/>
            <w:bCs w:val="0"/>
            <w:noProof/>
            <w:sz w:val="22"/>
            <w:szCs w:val="22"/>
          </w:rPr>
          <w:tab/>
        </w:r>
        <w:r w:rsidR="00442ABA" w:rsidRPr="00086CA5">
          <w:rPr>
            <w:rStyle w:val="Hyperlink"/>
            <w:noProof/>
            <w:lang w:val="ro-RO"/>
          </w:rPr>
          <w:t>Sănătate, Sport şi Recreere</w:t>
        </w:r>
        <w:r w:rsidR="00442ABA">
          <w:rPr>
            <w:noProof/>
            <w:webHidden/>
          </w:rPr>
          <w:tab/>
        </w:r>
        <w:r w:rsidR="00442ABA">
          <w:rPr>
            <w:noProof/>
            <w:webHidden/>
          </w:rPr>
          <w:fldChar w:fldCharType="begin"/>
        </w:r>
        <w:r w:rsidR="00442ABA">
          <w:rPr>
            <w:noProof/>
            <w:webHidden/>
          </w:rPr>
          <w:instrText xml:space="preserve"> PAGEREF _Toc370211876 \h </w:instrText>
        </w:r>
        <w:r w:rsidR="00442ABA">
          <w:rPr>
            <w:noProof/>
            <w:webHidden/>
          </w:rPr>
        </w:r>
        <w:r w:rsidR="00442ABA">
          <w:rPr>
            <w:noProof/>
            <w:webHidden/>
          </w:rPr>
          <w:fldChar w:fldCharType="separate"/>
        </w:r>
        <w:r w:rsidR="00442ABA">
          <w:rPr>
            <w:noProof/>
            <w:webHidden/>
          </w:rPr>
          <w:t>29</w:t>
        </w:r>
        <w:r w:rsidR="00442ABA">
          <w:rPr>
            <w:noProof/>
            <w:webHidden/>
          </w:rPr>
          <w:fldChar w:fldCharType="end"/>
        </w:r>
      </w:hyperlink>
    </w:p>
    <w:p w:rsidR="00442ABA" w:rsidRDefault="00AF3695">
      <w:pPr>
        <w:pStyle w:val="TOC3"/>
        <w:tabs>
          <w:tab w:val="right" w:leader="dot" w:pos="9350"/>
        </w:tabs>
        <w:rPr>
          <w:rFonts w:asciiTheme="minorHAnsi" w:eastAsiaTheme="minorEastAsia" w:hAnsiTheme="minorHAnsi" w:cstheme="minorBidi"/>
          <w:noProof/>
          <w:sz w:val="22"/>
          <w:szCs w:val="22"/>
        </w:rPr>
      </w:pPr>
      <w:hyperlink w:anchor="_Toc370211877" w:history="1">
        <w:r w:rsidR="00442ABA" w:rsidRPr="00086CA5">
          <w:rPr>
            <w:rStyle w:val="Hyperlink"/>
            <w:noProof/>
            <w:lang w:val="ro-RO"/>
          </w:rPr>
          <w:t>Obiective specifice şi direcţii de acţiune</w:t>
        </w:r>
        <w:r w:rsidR="00442ABA">
          <w:rPr>
            <w:noProof/>
            <w:webHidden/>
          </w:rPr>
          <w:tab/>
        </w:r>
        <w:r w:rsidR="00442ABA">
          <w:rPr>
            <w:noProof/>
            <w:webHidden/>
          </w:rPr>
          <w:fldChar w:fldCharType="begin"/>
        </w:r>
        <w:r w:rsidR="00442ABA">
          <w:rPr>
            <w:noProof/>
            <w:webHidden/>
          </w:rPr>
          <w:instrText xml:space="preserve"> PAGEREF _Toc370211877 \h </w:instrText>
        </w:r>
        <w:r w:rsidR="00442ABA">
          <w:rPr>
            <w:noProof/>
            <w:webHidden/>
          </w:rPr>
        </w:r>
        <w:r w:rsidR="00442ABA">
          <w:rPr>
            <w:noProof/>
            <w:webHidden/>
          </w:rPr>
          <w:fldChar w:fldCharType="separate"/>
        </w:r>
        <w:r w:rsidR="00442ABA">
          <w:rPr>
            <w:noProof/>
            <w:webHidden/>
          </w:rPr>
          <w:t>29</w:t>
        </w:r>
        <w:r w:rsidR="00442ABA">
          <w:rPr>
            <w:noProof/>
            <w:webHidden/>
          </w:rPr>
          <w:fldChar w:fldCharType="end"/>
        </w:r>
      </w:hyperlink>
    </w:p>
    <w:p w:rsidR="00442ABA" w:rsidRDefault="00AF3695">
      <w:pPr>
        <w:pStyle w:val="TOC2"/>
        <w:tabs>
          <w:tab w:val="left" w:pos="440"/>
          <w:tab w:val="right" w:leader="dot" w:pos="9350"/>
        </w:tabs>
        <w:rPr>
          <w:rFonts w:asciiTheme="minorHAnsi" w:eastAsiaTheme="minorEastAsia" w:hAnsiTheme="minorHAnsi" w:cstheme="minorBidi"/>
          <w:b w:val="0"/>
          <w:bCs w:val="0"/>
          <w:noProof/>
          <w:sz w:val="22"/>
          <w:szCs w:val="22"/>
        </w:rPr>
      </w:pPr>
      <w:hyperlink w:anchor="_Toc370211878" w:history="1">
        <w:r w:rsidR="00442ABA" w:rsidRPr="00086CA5">
          <w:rPr>
            <w:rStyle w:val="Hyperlink"/>
            <w:rFonts w:cs="Times New Roman"/>
            <w:noProof/>
            <w:lang w:val="ro-RO"/>
          </w:rPr>
          <w:t>3.</w:t>
        </w:r>
        <w:r w:rsidR="00442ABA">
          <w:rPr>
            <w:rFonts w:asciiTheme="minorHAnsi" w:eastAsiaTheme="minorEastAsia" w:hAnsiTheme="minorHAnsi" w:cstheme="minorBidi"/>
            <w:b w:val="0"/>
            <w:bCs w:val="0"/>
            <w:noProof/>
            <w:sz w:val="22"/>
            <w:szCs w:val="22"/>
          </w:rPr>
          <w:tab/>
        </w:r>
        <w:r w:rsidR="00442ABA" w:rsidRPr="00086CA5">
          <w:rPr>
            <w:rStyle w:val="Hyperlink"/>
            <w:noProof/>
            <w:lang w:val="ro-RO"/>
          </w:rPr>
          <w:t>Participare şi Voluntariat</w:t>
        </w:r>
        <w:r w:rsidR="00442ABA">
          <w:rPr>
            <w:noProof/>
            <w:webHidden/>
          </w:rPr>
          <w:tab/>
        </w:r>
        <w:r w:rsidR="00442ABA">
          <w:rPr>
            <w:noProof/>
            <w:webHidden/>
          </w:rPr>
          <w:fldChar w:fldCharType="begin"/>
        </w:r>
        <w:r w:rsidR="00442ABA">
          <w:rPr>
            <w:noProof/>
            <w:webHidden/>
          </w:rPr>
          <w:instrText xml:space="preserve"> PAGEREF _Toc370211878 \h </w:instrText>
        </w:r>
        <w:r w:rsidR="00442ABA">
          <w:rPr>
            <w:noProof/>
            <w:webHidden/>
          </w:rPr>
        </w:r>
        <w:r w:rsidR="00442ABA">
          <w:rPr>
            <w:noProof/>
            <w:webHidden/>
          </w:rPr>
          <w:fldChar w:fldCharType="separate"/>
        </w:r>
        <w:r w:rsidR="00442ABA">
          <w:rPr>
            <w:noProof/>
            <w:webHidden/>
          </w:rPr>
          <w:t>30</w:t>
        </w:r>
        <w:r w:rsidR="00442ABA">
          <w:rPr>
            <w:noProof/>
            <w:webHidden/>
          </w:rPr>
          <w:fldChar w:fldCharType="end"/>
        </w:r>
      </w:hyperlink>
    </w:p>
    <w:p w:rsidR="00442ABA" w:rsidRDefault="00AF3695">
      <w:pPr>
        <w:pStyle w:val="TOC3"/>
        <w:tabs>
          <w:tab w:val="right" w:leader="dot" w:pos="9350"/>
        </w:tabs>
        <w:rPr>
          <w:rFonts w:asciiTheme="minorHAnsi" w:eastAsiaTheme="minorEastAsia" w:hAnsiTheme="minorHAnsi" w:cstheme="minorBidi"/>
          <w:noProof/>
          <w:sz w:val="22"/>
          <w:szCs w:val="22"/>
        </w:rPr>
      </w:pPr>
      <w:hyperlink w:anchor="_Toc370211879" w:history="1">
        <w:r w:rsidR="00442ABA" w:rsidRPr="00086CA5">
          <w:rPr>
            <w:rStyle w:val="Hyperlink"/>
            <w:noProof/>
            <w:lang w:val="ro-RO"/>
          </w:rPr>
          <w:t>Obiective specifice şi direcţii de acţiune</w:t>
        </w:r>
        <w:r w:rsidR="00442ABA">
          <w:rPr>
            <w:noProof/>
            <w:webHidden/>
          </w:rPr>
          <w:tab/>
        </w:r>
        <w:r w:rsidR="00442ABA">
          <w:rPr>
            <w:noProof/>
            <w:webHidden/>
          </w:rPr>
          <w:fldChar w:fldCharType="begin"/>
        </w:r>
        <w:r w:rsidR="00442ABA">
          <w:rPr>
            <w:noProof/>
            <w:webHidden/>
          </w:rPr>
          <w:instrText xml:space="preserve"> PAGEREF _Toc370211879 \h </w:instrText>
        </w:r>
        <w:r w:rsidR="00442ABA">
          <w:rPr>
            <w:noProof/>
            <w:webHidden/>
          </w:rPr>
        </w:r>
        <w:r w:rsidR="00442ABA">
          <w:rPr>
            <w:noProof/>
            <w:webHidden/>
          </w:rPr>
          <w:fldChar w:fldCharType="separate"/>
        </w:r>
        <w:r w:rsidR="00442ABA">
          <w:rPr>
            <w:noProof/>
            <w:webHidden/>
          </w:rPr>
          <w:t>30</w:t>
        </w:r>
        <w:r w:rsidR="00442ABA">
          <w:rPr>
            <w:noProof/>
            <w:webHidden/>
          </w:rPr>
          <w:fldChar w:fldCharType="end"/>
        </w:r>
      </w:hyperlink>
    </w:p>
    <w:p w:rsidR="00442ABA" w:rsidRDefault="00AF3695">
      <w:pPr>
        <w:pStyle w:val="TOC2"/>
        <w:tabs>
          <w:tab w:val="left" w:pos="440"/>
          <w:tab w:val="right" w:leader="dot" w:pos="9350"/>
        </w:tabs>
        <w:rPr>
          <w:rFonts w:asciiTheme="minorHAnsi" w:eastAsiaTheme="minorEastAsia" w:hAnsiTheme="minorHAnsi" w:cstheme="minorBidi"/>
          <w:b w:val="0"/>
          <w:bCs w:val="0"/>
          <w:noProof/>
          <w:sz w:val="22"/>
          <w:szCs w:val="22"/>
        </w:rPr>
      </w:pPr>
      <w:hyperlink w:anchor="_Toc370211880" w:history="1">
        <w:r w:rsidR="00442ABA" w:rsidRPr="00086CA5">
          <w:rPr>
            <w:rStyle w:val="Hyperlink"/>
            <w:rFonts w:cs="Times New Roman"/>
            <w:noProof/>
            <w:lang w:val="ro-RO"/>
          </w:rPr>
          <w:t>4.</w:t>
        </w:r>
        <w:r w:rsidR="00442ABA">
          <w:rPr>
            <w:rFonts w:asciiTheme="minorHAnsi" w:eastAsiaTheme="minorEastAsia" w:hAnsiTheme="minorHAnsi" w:cstheme="minorBidi"/>
            <w:b w:val="0"/>
            <w:bCs w:val="0"/>
            <w:noProof/>
            <w:sz w:val="22"/>
            <w:szCs w:val="22"/>
          </w:rPr>
          <w:tab/>
        </w:r>
        <w:r w:rsidR="00442ABA" w:rsidRPr="00086CA5">
          <w:rPr>
            <w:rStyle w:val="Hyperlink"/>
            <w:noProof/>
            <w:lang w:val="ro-RO"/>
          </w:rPr>
          <w:t>Muncă şi Antreprenoriat</w:t>
        </w:r>
        <w:r w:rsidR="00442ABA">
          <w:rPr>
            <w:noProof/>
            <w:webHidden/>
          </w:rPr>
          <w:tab/>
        </w:r>
        <w:r w:rsidR="00442ABA">
          <w:rPr>
            <w:noProof/>
            <w:webHidden/>
          </w:rPr>
          <w:fldChar w:fldCharType="begin"/>
        </w:r>
        <w:r w:rsidR="00442ABA">
          <w:rPr>
            <w:noProof/>
            <w:webHidden/>
          </w:rPr>
          <w:instrText xml:space="preserve"> PAGEREF _Toc370211880 \h </w:instrText>
        </w:r>
        <w:r w:rsidR="00442ABA">
          <w:rPr>
            <w:noProof/>
            <w:webHidden/>
          </w:rPr>
        </w:r>
        <w:r w:rsidR="00442ABA">
          <w:rPr>
            <w:noProof/>
            <w:webHidden/>
          </w:rPr>
          <w:fldChar w:fldCharType="separate"/>
        </w:r>
        <w:r w:rsidR="00442ABA">
          <w:rPr>
            <w:noProof/>
            <w:webHidden/>
          </w:rPr>
          <w:t>33</w:t>
        </w:r>
        <w:r w:rsidR="00442ABA">
          <w:rPr>
            <w:noProof/>
            <w:webHidden/>
          </w:rPr>
          <w:fldChar w:fldCharType="end"/>
        </w:r>
      </w:hyperlink>
    </w:p>
    <w:p w:rsidR="00442ABA" w:rsidRDefault="00AF3695">
      <w:pPr>
        <w:pStyle w:val="TOC3"/>
        <w:tabs>
          <w:tab w:val="left" w:pos="880"/>
          <w:tab w:val="right" w:leader="dot" w:pos="9350"/>
        </w:tabs>
        <w:rPr>
          <w:rFonts w:asciiTheme="minorHAnsi" w:eastAsiaTheme="minorEastAsia" w:hAnsiTheme="minorHAnsi" w:cstheme="minorBidi"/>
          <w:noProof/>
          <w:sz w:val="22"/>
          <w:szCs w:val="22"/>
        </w:rPr>
      </w:pPr>
      <w:hyperlink w:anchor="_Toc370211881" w:history="1">
        <w:r w:rsidR="00442ABA" w:rsidRPr="00086CA5">
          <w:rPr>
            <w:rStyle w:val="Hyperlink"/>
            <w:rFonts w:cs="Times New Roman"/>
            <w:noProof/>
            <w:lang w:val="ro-RO"/>
          </w:rPr>
          <w:t>4.1.</w:t>
        </w:r>
        <w:r w:rsidR="00442ABA">
          <w:rPr>
            <w:rFonts w:asciiTheme="minorHAnsi" w:eastAsiaTheme="minorEastAsia" w:hAnsiTheme="minorHAnsi" w:cstheme="minorBidi"/>
            <w:noProof/>
            <w:sz w:val="22"/>
            <w:szCs w:val="22"/>
          </w:rPr>
          <w:tab/>
        </w:r>
        <w:r w:rsidR="00442ABA" w:rsidRPr="00086CA5">
          <w:rPr>
            <w:rStyle w:val="Hyperlink"/>
            <w:noProof/>
            <w:lang w:val="ro-RO"/>
          </w:rPr>
          <w:t>Muncă</w:t>
        </w:r>
        <w:r w:rsidR="00442ABA">
          <w:rPr>
            <w:noProof/>
            <w:webHidden/>
          </w:rPr>
          <w:tab/>
        </w:r>
        <w:r w:rsidR="00442ABA">
          <w:rPr>
            <w:noProof/>
            <w:webHidden/>
          </w:rPr>
          <w:fldChar w:fldCharType="begin"/>
        </w:r>
        <w:r w:rsidR="00442ABA">
          <w:rPr>
            <w:noProof/>
            <w:webHidden/>
          </w:rPr>
          <w:instrText xml:space="preserve"> PAGEREF _Toc370211881 \h </w:instrText>
        </w:r>
        <w:r w:rsidR="00442ABA">
          <w:rPr>
            <w:noProof/>
            <w:webHidden/>
          </w:rPr>
        </w:r>
        <w:r w:rsidR="00442ABA">
          <w:rPr>
            <w:noProof/>
            <w:webHidden/>
          </w:rPr>
          <w:fldChar w:fldCharType="separate"/>
        </w:r>
        <w:r w:rsidR="00442ABA">
          <w:rPr>
            <w:noProof/>
            <w:webHidden/>
          </w:rPr>
          <w:t>33</w:t>
        </w:r>
        <w:r w:rsidR="00442ABA">
          <w:rPr>
            <w:noProof/>
            <w:webHidden/>
          </w:rPr>
          <w:fldChar w:fldCharType="end"/>
        </w:r>
      </w:hyperlink>
    </w:p>
    <w:p w:rsidR="00442ABA" w:rsidRDefault="00AF3695">
      <w:pPr>
        <w:pStyle w:val="TOC3"/>
        <w:tabs>
          <w:tab w:val="left" w:pos="880"/>
          <w:tab w:val="right" w:leader="dot" w:pos="9350"/>
        </w:tabs>
        <w:rPr>
          <w:rFonts w:asciiTheme="minorHAnsi" w:eastAsiaTheme="minorEastAsia" w:hAnsiTheme="minorHAnsi" w:cstheme="minorBidi"/>
          <w:noProof/>
          <w:sz w:val="22"/>
          <w:szCs w:val="22"/>
        </w:rPr>
      </w:pPr>
      <w:hyperlink w:anchor="_Toc370211882" w:history="1">
        <w:r w:rsidR="00442ABA" w:rsidRPr="00086CA5">
          <w:rPr>
            <w:rStyle w:val="Hyperlink"/>
            <w:noProof/>
            <w:lang w:val="ro-RO"/>
          </w:rPr>
          <w:t>4.2.</w:t>
        </w:r>
        <w:r w:rsidR="00442ABA">
          <w:rPr>
            <w:rFonts w:asciiTheme="minorHAnsi" w:eastAsiaTheme="minorEastAsia" w:hAnsiTheme="minorHAnsi" w:cstheme="minorBidi"/>
            <w:noProof/>
            <w:sz w:val="22"/>
            <w:szCs w:val="22"/>
          </w:rPr>
          <w:tab/>
        </w:r>
        <w:r w:rsidR="00442ABA" w:rsidRPr="00086CA5">
          <w:rPr>
            <w:rStyle w:val="Hyperlink"/>
            <w:noProof/>
            <w:lang w:val="ro-RO"/>
          </w:rPr>
          <w:t>Antreprenoriat</w:t>
        </w:r>
        <w:r w:rsidR="00442ABA">
          <w:rPr>
            <w:noProof/>
            <w:webHidden/>
          </w:rPr>
          <w:tab/>
        </w:r>
        <w:r w:rsidR="00442ABA">
          <w:rPr>
            <w:noProof/>
            <w:webHidden/>
          </w:rPr>
          <w:fldChar w:fldCharType="begin"/>
        </w:r>
        <w:r w:rsidR="00442ABA">
          <w:rPr>
            <w:noProof/>
            <w:webHidden/>
          </w:rPr>
          <w:instrText xml:space="preserve"> PAGEREF _Toc370211882 \h </w:instrText>
        </w:r>
        <w:r w:rsidR="00442ABA">
          <w:rPr>
            <w:noProof/>
            <w:webHidden/>
          </w:rPr>
        </w:r>
        <w:r w:rsidR="00442ABA">
          <w:rPr>
            <w:noProof/>
            <w:webHidden/>
          </w:rPr>
          <w:fldChar w:fldCharType="separate"/>
        </w:r>
        <w:r w:rsidR="00442ABA">
          <w:rPr>
            <w:noProof/>
            <w:webHidden/>
          </w:rPr>
          <w:t>38</w:t>
        </w:r>
        <w:r w:rsidR="00442ABA">
          <w:rPr>
            <w:noProof/>
            <w:webHidden/>
          </w:rPr>
          <w:fldChar w:fldCharType="end"/>
        </w:r>
      </w:hyperlink>
    </w:p>
    <w:p w:rsidR="00442ABA" w:rsidRDefault="00AF3695">
      <w:pPr>
        <w:pStyle w:val="TOC1"/>
        <w:tabs>
          <w:tab w:val="right" w:leader="dot" w:pos="9350"/>
        </w:tabs>
        <w:rPr>
          <w:rFonts w:asciiTheme="minorHAnsi" w:eastAsiaTheme="minorEastAsia" w:hAnsiTheme="minorHAnsi" w:cstheme="minorBidi"/>
          <w:b w:val="0"/>
          <w:bCs w:val="0"/>
          <w:caps w:val="0"/>
          <w:noProof/>
          <w:sz w:val="22"/>
          <w:szCs w:val="22"/>
        </w:rPr>
      </w:pPr>
      <w:hyperlink w:anchor="_Toc370211883" w:history="1">
        <w:r w:rsidR="00442ABA" w:rsidRPr="00086CA5">
          <w:rPr>
            <w:rStyle w:val="Hyperlink"/>
            <w:noProof/>
            <w:lang w:val="ro-RO"/>
          </w:rPr>
          <w:t>Contribuţia Strategiei la incluziunea socială a tinerilor, în special a celor vulnerabili şi/sau care, din diferite motive, ar putea avea oportunităţi mai puţine</w:t>
        </w:r>
        <w:r w:rsidR="00442ABA">
          <w:rPr>
            <w:noProof/>
            <w:webHidden/>
          </w:rPr>
          <w:tab/>
        </w:r>
        <w:r w:rsidR="00442ABA">
          <w:rPr>
            <w:noProof/>
            <w:webHidden/>
          </w:rPr>
          <w:fldChar w:fldCharType="begin"/>
        </w:r>
        <w:r w:rsidR="00442ABA">
          <w:rPr>
            <w:noProof/>
            <w:webHidden/>
          </w:rPr>
          <w:instrText xml:space="preserve"> PAGEREF _Toc370211883 \h </w:instrText>
        </w:r>
        <w:r w:rsidR="00442ABA">
          <w:rPr>
            <w:noProof/>
            <w:webHidden/>
          </w:rPr>
        </w:r>
        <w:r w:rsidR="00442ABA">
          <w:rPr>
            <w:noProof/>
            <w:webHidden/>
          </w:rPr>
          <w:fldChar w:fldCharType="separate"/>
        </w:r>
        <w:r w:rsidR="00442ABA">
          <w:rPr>
            <w:noProof/>
            <w:webHidden/>
          </w:rPr>
          <w:t>40</w:t>
        </w:r>
        <w:r w:rsidR="00442ABA">
          <w:rPr>
            <w:noProof/>
            <w:webHidden/>
          </w:rPr>
          <w:fldChar w:fldCharType="end"/>
        </w:r>
      </w:hyperlink>
    </w:p>
    <w:p w:rsidR="00442ABA" w:rsidRDefault="00AF3695">
      <w:pPr>
        <w:pStyle w:val="TOC3"/>
        <w:tabs>
          <w:tab w:val="left" w:pos="660"/>
          <w:tab w:val="right" w:leader="dot" w:pos="9350"/>
        </w:tabs>
        <w:rPr>
          <w:rFonts w:asciiTheme="minorHAnsi" w:eastAsiaTheme="minorEastAsia" w:hAnsiTheme="minorHAnsi" w:cstheme="minorBidi"/>
          <w:noProof/>
          <w:sz w:val="22"/>
          <w:szCs w:val="22"/>
        </w:rPr>
      </w:pPr>
      <w:hyperlink w:anchor="_Toc370211884" w:history="1">
        <w:r w:rsidR="00442ABA" w:rsidRPr="00086CA5">
          <w:rPr>
            <w:rStyle w:val="Hyperlink"/>
            <w:rFonts w:cs="Times New Roman"/>
            <w:noProof/>
            <w:lang w:val="ro-RO"/>
          </w:rPr>
          <w:t>1.</w:t>
        </w:r>
        <w:r w:rsidR="00442ABA">
          <w:rPr>
            <w:rFonts w:asciiTheme="minorHAnsi" w:eastAsiaTheme="minorEastAsia" w:hAnsiTheme="minorHAnsi" w:cstheme="minorBidi"/>
            <w:noProof/>
            <w:sz w:val="22"/>
            <w:szCs w:val="22"/>
          </w:rPr>
          <w:tab/>
        </w:r>
        <w:r w:rsidR="00442ABA" w:rsidRPr="00086CA5">
          <w:rPr>
            <w:rStyle w:val="Hyperlink"/>
            <w:noProof/>
            <w:lang w:val="ro-RO"/>
          </w:rPr>
          <w:t>Excluziune ocupa</w:t>
        </w:r>
        <w:r w:rsidR="00442ABA" w:rsidRPr="00086CA5">
          <w:rPr>
            <w:rStyle w:val="Hyperlink"/>
            <w:rFonts w:ascii="Arial" w:hAnsi="Arial" w:cs="Arial"/>
            <w:noProof/>
            <w:lang w:val="ro-RO"/>
          </w:rPr>
          <w:t>ţ</w:t>
        </w:r>
        <w:r w:rsidR="00442ABA" w:rsidRPr="00086CA5">
          <w:rPr>
            <w:rStyle w:val="Hyperlink"/>
            <w:noProof/>
            <w:lang w:val="ro-RO"/>
          </w:rPr>
          <w:t>ională</w:t>
        </w:r>
        <w:r w:rsidR="00442ABA">
          <w:rPr>
            <w:noProof/>
            <w:webHidden/>
          </w:rPr>
          <w:tab/>
        </w:r>
        <w:r w:rsidR="00442ABA">
          <w:rPr>
            <w:noProof/>
            <w:webHidden/>
          </w:rPr>
          <w:fldChar w:fldCharType="begin"/>
        </w:r>
        <w:r w:rsidR="00442ABA">
          <w:rPr>
            <w:noProof/>
            <w:webHidden/>
          </w:rPr>
          <w:instrText xml:space="preserve"> PAGEREF _Toc370211884 \h </w:instrText>
        </w:r>
        <w:r w:rsidR="00442ABA">
          <w:rPr>
            <w:noProof/>
            <w:webHidden/>
          </w:rPr>
        </w:r>
        <w:r w:rsidR="00442ABA">
          <w:rPr>
            <w:noProof/>
            <w:webHidden/>
          </w:rPr>
          <w:fldChar w:fldCharType="separate"/>
        </w:r>
        <w:r w:rsidR="00442ABA">
          <w:rPr>
            <w:noProof/>
            <w:webHidden/>
          </w:rPr>
          <w:t>40</w:t>
        </w:r>
        <w:r w:rsidR="00442ABA">
          <w:rPr>
            <w:noProof/>
            <w:webHidden/>
          </w:rPr>
          <w:fldChar w:fldCharType="end"/>
        </w:r>
      </w:hyperlink>
    </w:p>
    <w:p w:rsidR="00442ABA" w:rsidRDefault="00AF3695">
      <w:pPr>
        <w:pStyle w:val="TOC3"/>
        <w:tabs>
          <w:tab w:val="left" w:pos="660"/>
          <w:tab w:val="right" w:leader="dot" w:pos="9350"/>
        </w:tabs>
        <w:rPr>
          <w:rFonts w:asciiTheme="minorHAnsi" w:eastAsiaTheme="minorEastAsia" w:hAnsiTheme="minorHAnsi" w:cstheme="minorBidi"/>
          <w:noProof/>
          <w:sz w:val="22"/>
          <w:szCs w:val="22"/>
        </w:rPr>
      </w:pPr>
      <w:hyperlink w:anchor="_Toc370211885" w:history="1">
        <w:r w:rsidR="00442ABA" w:rsidRPr="00086CA5">
          <w:rPr>
            <w:rStyle w:val="Hyperlink"/>
            <w:rFonts w:cs="Times New Roman"/>
            <w:noProof/>
            <w:lang w:val="ro-RO"/>
          </w:rPr>
          <w:t>2.</w:t>
        </w:r>
        <w:r w:rsidR="00442ABA">
          <w:rPr>
            <w:rFonts w:asciiTheme="minorHAnsi" w:eastAsiaTheme="minorEastAsia" w:hAnsiTheme="minorHAnsi" w:cstheme="minorBidi"/>
            <w:noProof/>
            <w:sz w:val="22"/>
            <w:szCs w:val="22"/>
          </w:rPr>
          <w:tab/>
        </w:r>
        <w:r w:rsidR="00442ABA" w:rsidRPr="00086CA5">
          <w:rPr>
            <w:rStyle w:val="Hyperlink"/>
            <w:noProof/>
            <w:lang w:val="ro-RO"/>
          </w:rPr>
          <w:t>Excluziune de la educa</w:t>
        </w:r>
        <w:r w:rsidR="00442ABA" w:rsidRPr="00086CA5">
          <w:rPr>
            <w:rStyle w:val="Hyperlink"/>
            <w:rFonts w:ascii="Arial" w:hAnsi="Arial" w:cs="Arial"/>
            <w:noProof/>
            <w:lang w:val="ro-RO"/>
          </w:rPr>
          <w:t>ţ</w:t>
        </w:r>
        <w:r w:rsidR="00442ABA" w:rsidRPr="00086CA5">
          <w:rPr>
            <w:rStyle w:val="Hyperlink"/>
            <w:noProof/>
            <w:lang w:val="ro-RO"/>
          </w:rPr>
          <w:t>ie formală, non-formală și cultură</w:t>
        </w:r>
        <w:r w:rsidR="00442ABA">
          <w:rPr>
            <w:noProof/>
            <w:webHidden/>
          </w:rPr>
          <w:tab/>
        </w:r>
        <w:r w:rsidR="00442ABA">
          <w:rPr>
            <w:noProof/>
            <w:webHidden/>
          </w:rPr>
          <w:fldChar w:fldCharType="begin"/>
        </w:r>
        <w:r w:rsidR="00442ABA">
          <w:rPr>
            <w:noProof/>
            <w:webHidden/>
          </w:rPr>
          <w:instrText xml:space="preserve"> PAGEREF _Toc370211885 \h </w:instrText>
        </w:r>
        <w:r w:rsidR="00442ABA">
          <w:rPr>
            <w:noProof/>
            <w:webHidden/>
          </w:rPr>
        </w:r>
        <w:r w:rsidR="00442ABA">
          <w:rPr>
            <w:noProof/>
            <w:webHidden/>
          </w:rPr>
          <w:fldChar w:fldCharType="separate"/>
        </w:r>
        <w:r w:rsidR="00442ABA">
          <w:rPr>
            <w:noProof/>
            <w:webHidden/>
          </w:rPr>
          <w:t>41</w:t>
        </w:r>
        <w:r w:rsidR="00442ABA">
          <w:rPr>
            <w:noProof/>
            <w:webHidden/>
          </w:rPr>
          <w:fldChar w:fldCharType="end"/>
        </w:r>
      </w:hyperlink>
    </w:p>
    <w:p w:rsidR="00442ABA" w:rsidRDefault="00AF3695">
      <w:pPr>
        <w:pStyle w:val="TOC3"/>
        <w:tabs>
          <w:tab w:val="left" w:pos="660"/>
          <w:tab w:val="right" w:leader="dot" w:pos="9350"/>
        </w:tabs>
        <w:rPr>
          <w:rFonts w:asciiTheme="minorHAnsi" w:eastAsiaTheme="minorEastAsia" w:hAnsiTheme="minorHAnsi" w:cstheme="minorBidi"/>
          <w:noProof/>
          <w:sz w:val="22"/>
          <w:szCs w:val="22"/>
        </w:rPr>
      </w:pPr>
      <w:hyperlink w:anchor="_Toc370211886" w:history="1">
        <w:r w:rsidR="00442ABA" w:rsidRPr="00086CA5">
          <w:rPr>
            <w:rStyle w:val="Hyperlink"/>
            <w:rFonts w:cs="Times New Roman"/>
            <w:noProof/>
            <w:lang w:val="ro-RO"/>
          </w:rPr>
          <w:t>3.</w:t>
        </w:r>
        <w:r w:rsidR="00442ABA">
          <w:rPr>
            <w:rFonts w:asciiTheme="minorHAnsi" w:eastAsiaTheme="minorEastAsia" w:hAnsiTheme="minorHAnsi" w:cstheme="minorBidi"/>
            <w:noProof/>
            <w:sz w:val="22"/>
            <w:szCs w:val="22"/>
          </w:rPr>
          <w:tab/>
        </w:r>
        <w:r w:rsidR="00442ABA" w:rsidRPr="00086CA5">
          <w:rPr>
            <w:rStyle w:val="Hyperlink"/>
            <w:noProof/>
            <w:lang w:val="ro-RO"/>
          </w:rPr>
          <w:t>Excluziune de la sănătate</w:t>
        </w:r>
        <w:r w:rsidR="00442ABA">
          <w:rPr>
            <w:noProof/>
            <w:webHidden/>
          </w:rPr>
          <w:tab/>
        </w:r>
        <w:r w:rsidR="00442ABA">
          <w:rPr>
            <w:noProof/>
            <w:webHidden/>
          </w:rPr>
          <w:fldChar w:fldCharType="begin"/>
        </w:r>
        <w:r w:rsidR="00442ABA">
          <w:rPr>
            <w:noProof/>
            <w:webHidden/>
          </w:rPr>
          <w:instrText xml:space="preserve"> PAGEREF _Toc370211886 \h </w:instrText>
        </w:r>
        <w:r w:rsidR="00442ABA">
          <w:rPr>
            <w:noProof/>
            <w:webHidden/>
          </w:rPr>
        </w:r>
        <w:r w:rsidR="00442ABA">
          <w:rPr>
            <w:noProof/>
            <w:webHidden/>
          </w:rPr>
          <w:fldChar w:fldCharType="separate"/>
        </w:r>
        <w:r w:rsidR="00442ABA">
          <w:rPr>
            <w:noProof/>
            <w:webHidden/>
          </w:rPr>
          <w:t>42</w:t>
        </w:r>
        <w:r w:rsidR="00442ABA">
          <w:rPr>
            <w:noProof/>
            <w:webHidden/>
          </w:rPr>
          <w:fldChar w:fldCharType="end"/>
        </w:r>
      </w:hyperlink>
    </w:p>
    <w:p w:rsidR="00442ABA" w:rsidRDefault="00AF3695">
      <w:pPr>
        <w:pStyle w:val="TOC3"/>
        <w:tabs>
          <w:tab w:val="left" w:pos="660"/>
          <w:tab w:val="right" w:leader="dot" w:pos="9350"/>
        </w:tabs>
        <w:rPr>
          <w:rFonts w:asciiTheme="minorHAnsi" w:eastAsiaTheme="minorEastAsia" w:hAnsiTheme="minorHAnsi" w:cstheme="minorBidi"/>
          <w:noProof/>
          <w:sz w:val="22"/>
          <w:szCs w:val="22"/>
        </w:rPr>
      </w:pPr>
      <w:hyperlink w:anchor="_Toc370211887" w:history="1">
        <w:r w:rsidR="00442ABA" w:rsidRPr="00086CA5">
          <w:rPr>
            <w:rStyle w:val="Hyperlink"/>
            <w:noProof/>
            <w:lang w:val="ro-RO"/>
          </w:rPr>
          <w:t>4.</w:t>
        </w:r>
        <w:r w:rsidR="00442ABA">
          <w:rPr>
            <w:rFonts w:asciiTheme="minorHAnsi" w:eastAsiaTheme="minorEastAsia" w:hAnsiTheme="minorHAnsi" w:cstheme="minorBidi"/>
            <w:noProof/>
            <w:sz w:val="22"/>
            <w:szCs w:val="22"/>
          </w:rPr>
          <w:tab/>
        </w:r>
        <w:r w:rsidR="00442ABA" w:rsidRPr="00086CA5">
          <w:rPr>
            <w:rStyle w:val="Hyperlink"/>
            <w:noProof/>
            <w:lang w:val="ro-RO"/>
          </w:rPr>
          <w:t>Excluziune de la participare</w:t>
        </w:r>
        <w:r w:rsidR="00442ABA">
          <w:rPr>
            <w:noProof/>
            <w:webHidden/>
          </w:rPr>
          <w:tab/>
        </w:r>
        <w:r w:rsidR="00442ABA">
          <w:rPr>
            <w:noProof/>
            <w:webHidden/>
          </w:rPr>
          <w:fldChar w:fldCharType="begin"/>
        </w:r>
        <w:r w:rsidR="00442ABA">
          <w:rPr>
            <w:noProof/>
            <w:webHidden/>
          </w:rPr>
          <w:instrText xml:space="preserve"> PAGEREF _Toc370211887 \h </w:instrText>
        </w:r>
        <w:r w:rsidR="00442ABA">
          <w:rPr>
            <w:noProof/>
            <w:webHidden/>
          </w:rPr>
        </w:r>
        <w:r w:rsidR="00442ABA">
          <w:rPr>
            <w:noProof/>
            <w:webHidden/>
          </w:rPr>
          <w:fldChar w:fldCharType="separate"/>
        </w:r>
        <w:r w:rsidR="00442ABA">
          <w:rPr>
            <w:noProof/>
            <w:webHidden/>
          </w:rPr>
          <w:t>42</w:t>
        </w:r>
        <w:r w:rsidR="00442ABA">
          <w:rPr>
            <w:noProof/>
            <w:webHidden/>
          </w:rPr>
          <w:fldChar w:fldCharType="end"/>
        </w:r>
      </w:hyperlink>
    </w:p>
    <w:p w:rsidR="00442ABA" w:rsidRDefault="00AF3695">
      <w:pPr>
        <w:pStyle w:val="TOC3"/>
        <w:tabs>
          <w:tab w:val="left" w:pos="660"/>
          <w:tab w:val="right" w:leader="dot" w:pos="9350"/>
        </w:tabs>
        <w:rPr>
          <w:rFonts w:asciiTheme="minorHAnsi" w:eastAsiaTheme="minorEastAsia" w:hAnsiTheme="minorHAnsi" w:cstheme="minorBidi"/>
          <w:noProof/>
          <w:sz w:val="22"/>
          <w:szCs w:val="22"/>
        </w:rPr>
      </w:pPr>
      <w:hyperlink w:anchor="_Toc370211888" w:history="1">
        <w:r w:rsidR="00442ABA" w:rsidRPr="00086CA5">
          <w:rPr>
            <w:rStyle w:val="Hyperlink"/>
            <w:noProof/>
            <w:lang w:val="ro-RO"/>
          </w:rPr>
          <w:t>5.</w:t>
        </w:r>
        <w:r w:rsidR="00442ABA">
          <w:rPr>
            <w:rFonts w:asciiTheme="minorHAnsi" w:eastAsiaTheme="minorEastAsia" w:hAnsiTheme="minorHAnsi" w:cstheme="minorBidi"/>
            <w:noProof/>
            <w:sz w:val="22"/>
            <w:szCs w:val="22"/>
          </w:rPr>
          <w:tab/>
        </w:r>
        <w:r w:rsidR="00442ABA" w:rsidRPr="00086CA5">
          <w:rPr>
            <w:rStyle w:val="Hyperlink"/>
            <w:noProof/>
            <w:lang w:val="ro-RO"/>
          </w:rPr>
          <w:t>Sărăcie, excluziune socială și grupuri vulnerabile</w:t>
        </w:r>
        <w:r w:rsidR="00442ABA">
          <w:rPr>
            <w:noProof/>
            <w:webHidden/>
          </w:rPr>
          <w:tab/>
        </w:r>
        <w:r w:rsidR="00442ABA">
          <w:rPr>
            <w:noProof/>
            <w:webHidden/>
          </w:rPr>
          <w:fldChar w:fldCharType="begin"/>
        </w:r>
        <w:r w:rsidR="00442ABA">
          <w:rPr>
            <w:noProof/>
            <w:webHidden/>
          </w:rPr>
          <w:instrText xml:space="preserve"> PAGEREF _Toc370211888 \h </w:instrText>
        </w:r>
        <w:r w:rsidR="00442ABA">
          <w:rPr>
            <w:noProof/>
            <w:webHidden/>
          </w:rPr>
        </w:r>
        <w:r w:rsidR="00442ABA">
          <w:rPr>
            <w:noProof/>
            <w:webHidden/>
          </w:rPr>
          <w:fldChar w:fldCharType="separate"/>
        </w:r>
        <w:r w:rsidR="00442ABA">
          <w:rPr>
            <w:noProof/>
            <w:webHidden/>
          </w:rPr>
          <w:t>43</w:t>
        </w:r>
        <w:r w:rsidR="00442ABA">
          <w:rPr>
            <w:noProof/>
            <w:webHidden/>
          </w:rPr>
          <w:fldChar w:fldCharType="end"/>
        </w:r>
      </w:hyperlink>
    </w:p>
    <w:p w:rsidR="00442ABA" w:rsidRDefault="00AF3695">
      <w:pPr>
        <w:pStyle w:val="TOC1"/>
        <w:tabs>
          <w:tab w:val="right" w:leader="dot" w:pos="9350"/>
        </w:tabs>
        <w:rPr>
          <w:rFonts w:asciiTheme="minorHAnsi" w:eastAsiaTheme="minorEastAsia" w:hAnsiTheme="minorHAnsi" w:cstheme="minorBidi"/>
          <w:b w:val="0"/>
          <w:bCs w:val="0"/>
          <w:caps w:val="0"/>
          <w:noProof/>
          <w:sz w:val="22"/>
          <w:szCs w:val="22"/>
        </w:rPr>
      </w:pPr>
      <w:hyperlink w:anchor="_Toc370211889" w:history="1">
        <w:r w:rsidR="00442ABA" w:rsidRPr="00086CA5">
          <w:rPr>
            <w:rStyle w:val="Hyperlink"/>
            <w:noProof/>
            <w:lang w:val="ro-RO"/>
          </w:rPr>
          <w:t>Mecanisme de implementare şi programe de suport</w:t>
        </w:r>
        <w:r w:rsidR="00442ABA">
          <w:rPr>
            <w:noProof/>
            <w:webHidden/>
          </w:rPr>
          <w:tab/>
        </w:r>
        <w:r w:rsidR="00442ABA">
          <w:rPr>
            <w:noProof/>
            <w:webHidden/>
          </w:rPr>
          <w:fldChar w:fldCharType="begin"/>
        </w:r>
        <w:r w:rsidR="00442ABA">
          <w:rPr>
            <w:noProof/>
            <w:webHidden/>
          </w:rPr>
          <w:instrText xml:space="preserve"> PAGEREF _Toc370211889 \h </w:instrText>
        </w:r>
        <w:r w:rsidR="00442ABA">
          <w:rPr>
            <w:noProof/>
            <w:webHidden/>
          </w:rPr>
        </w:r>
        <w:r w:rsidR="00442ABA">
          <w:rPr>
            <w:noProof/>
            <w:webHidden/>
          </w:rPr>
          <w:fldChar w:fldCharType="separate"/>
        </w:r>
        <w:r w:rsidR="00442ABA">
          <w:rPr>
            <w:noProof/>
            <w:webHidden/>
          </w:rPr>
          <w:t>46</w:t>
        </w:r>
        <w:r w:rsidR="00442ABA">
          <w:rPr>
            <w:noProof/>
            <w:webHidden/>
          </w:rPr>
          <w:fldChar w:fldCharType="end"/>
        </w:r>
      </w:hyperlink>
    </w:p>
    <w:p w:rsidR="00442ABA" w:rsidRDefault="00AF3695">
      <w:pPr>
        <w:pStyle w:val="TOC2"/>
        <w:tabs>
          <w:tab w:val="left" w:pos="440"/>
          <w:tab w:val="right" w:leader="dot" w:pos="9350"/>
        </w:tabs>
        <w:rPr>
          <w:rFonts w:asciiTheme="minorHAnsi" w:eastAsiaTheme="minorEastAsia" w:hAnsiTheme="minorHAnsi" w:cstheme="minorBidi"/>
          <w:b w:val="0"/>
          <w:bCs w:val="0"/>
          <w:noProof/>
          <w:sz w:val="22"/>
          <w:szCs w:val="22"/>
        </w:rPr>
      </w:pPr>
      <w:hyperlink w:anchor="_Toc370211890" w:history="1">
        <w:r w:rsidR="00442ABA" w:rsidRPr="00086CA5">
          <w:rPr>
            <w:rStyle w:val="Hyperlink"/>
            <w:noProof/>
            <w:lang w:val="ro-RO"/>
          </w:rPr>
          <w:t>I.</w:t>
        </w:r>
        <w:r w:rsidR="00442ABA">
          <w:rPr>
            <w:rFonts w:asciiTheme="minorHAnsi" w:eastAsiaTheme="minorEastAsia" w:hAnsiTheme="minorHAnsi" w:cstheme="minorBidi"/>
            <w:b w:val="0"/>
            <w:bCs w:val="0"/>
            <w:noProof/>
            <w:sz w:val="22"/>
            <w:szCs w:val="22"/>
          </w:rPr>
          <w:tab/>
        </w:r>
        <w:r w:rsidR="00442ABA" w:rsidRPr="00086CA5">
          <w:rPr>
            <w:rStyle w:val="Hyperlink"/>
            <w:noProof/>
            <w:lang w:val="ro-RO"/>
          </w:rPr>
          <w:t>Mecanisme de implementare</w:t>
        </w:r>
        <w:r w:rsidR="00442ABA">
          <w:rPr>
            <w:noProof/>
            <w:webHidden/>
          </w:rPr>
          <w:tab/>
        </w:r>
        <w:r w:rsidR="00442ABA">
          <w:rPr>
            <w:noProof/>
            <w:webHidden/>
          </w:rPr>
          <w:fldChar w:fldCharType="begin"/>
        </w:r>
        <w:r w:rsidR="00442ABA">
          <w:rPr>
            <w:noProof/>
            <w:webHidden/>
          </w:rPr>
          <w:instrText xml:space="preserve"> PAGEREF _Toc370211890 \h </w:instrText>
        </w:r>
        <w:r w:rsidR="00442ABA">
          <w:rPr>
            <w:noProof/>
            <w:webHidden/>
          </w:rPr>
        </w:r>
        <w:r w:rsidR="00442ABA">
          <w:rPr>
            <w:noProof/>
            <w:webHidden/>
          </w:rPr>
          <w:fldChar w:fldCharType="separate"/>
        </w:r>
        <w:r w:rsidR="00442ABA">
          <w:rPr>
            <w:noProof/>
            <w:webHidden/>
          </w:rPr>
          <w:t>46</w:t>
        </w:r>
        <w:r w:rsidR="00442ABA">
          <w:rPr>
            <w:noProof/>
            <w:webHidden/>
          </w:rPr>
          <w:fldChar w:fldCharType="end"/>
        </w:r>
      </w:hyperlink>
    </w:p>
    <w:p w:rsidR="00442ABA" w:rsidRDefault="00AF3695">
      <w:pPr>
        <w:pStyle w:val="TOC2"/>
        <w:tabs>
          <w:tab w:val="left" w:pos="440"/>
          <w:tab w:val="right" w:leader="dot" w:pos="9350"/>
        </w:tabs>
        <w:rPr>
          <w:rFonts w:asciiTheme="minorHAnsi" w:eastAsiaTheme="minorEastAsia" w:hAnsiTheme="minorHAnsi" w:cstheme="minorBidi"/>
          <w:b w:val="0"/>
          <w:bCs w:val="0"/>
          <w:noProof/>
          <w:sz w:val="22"/>
          <w:szCs w:val="22"/>
        </w:rPr>
      </w:pPr>
      <w:hyperlink w:anchor="_Toc370211891" w:history="1">
        <w:r w:rsidR="00442ABA" w:rsidRPr="00086CA5">
          <w:rPr>
            <w:rStyle w:val="Hyperlink"/>
            <w:noProof/>
            <w:lang w:val="ro-RO"/>
          </w:rPr>
          <w:t>II.</w:t>
        </w:r>
        <w:r w:rsidR="00442ABA">
          <w:rPr>
            <w:rFonts w:asciiTheme="minorHAnsi" w:eastAsiaTheme="minorEastAsia" w:hAnsiTheme="minorHAnsi" w:cstheme="minorBidi"/>
            <w:b w:val="0"/>
            <w:bCs w:val="0"/>
            <w:noProof/>
            <w:sz w:val="22"/>
            <w:szCs w:val="22"/>
          </w:rPr>
          <w:tab/>
        </w:r>
        <w:r w:rsidR="00442ABA" w:rsidRPr="00086CA5">
          <w:rPr>
            <w:rStyle w:val="Hyperlink"/>
            <w:noProof/>
            <w:lang w:val="ro-RO"/>
          </w:rPr>
          <w:t>Programe de suport</w:t>
        </w:r>
        <w:r w:rsidR="00442ABA">
          <w:rPr>
            <w:noProof/>
            <w:webHidden/>
          </w:rPr>
          <w:tab/>
        </w:r>
        <w:r w:rsidR="00442ABA">
          <w:rPr>
            <w:noProof/>
            <w:webHidden/>
          </w:rPr>
          <w:fldChar w:fldCharType="begin"/>
        </w:r>
        <w:r w:rsidR="00442ABA">
          <w:rPr>
            <w:noProof/>
            <w:webHidden/>
          </w:rPr>
          <w:instrText xml:space="preserve"> PAGEREF _Toc370211891 \h </w:instrText>
        </w:r>
        <w:r w:rsidR="00442ABA">
          <w:rPr>
            <w:noProof/>
            <w:webHidden/>
          </w:rPr>
        </w:r>
        <w:r w:rsidR="00442ABA">
          <w:rPr>
            <w:noProof/>
            <w:webHidden/>
          </w:rPr>
          <w:fldChar w:fldCharType="separate"/>
        </w:r>
        <w:r w:rsidR="00442ABA">
          <w:rPr>
            <w:noProof/>
            <w:webHidden/>
          </w:rPr>
          <w:t>47</w:t>
        </w:r>
        <w:r w:rsidR="00442ABA">
          <w:rPr>
            <w:noProof/>
            <w:webHidden/>
          </w:rPr>
          <w:fldChar w:fldCharType="end"/>
        </w:r>
      </w:hyperlink>
    </w:p>
    <w:p w:rsidR="00442ABA" w:rsidRDefault="00AF3695">
      <w:pPr>
        <w:pStyle w:val="TOC3"/>
        <w:tabs>
          <w:tab w:val="left" w:pos="660"/>
          <w:tab w:val="right" w:leader="dot" w:pos="9350"/>
        </w:tabs>
        <w:rPr>
          <w:rFonts w:asciiTheme="minorHAnsi" w:eastAsiaTheme="minorEastAsia" w:hAnsiTheme="minorHAnsi" w:cstheme="minorBidi"/>
          <w:noProof/>
          <w:sz w:val="22"/>
          <w:szCs w:val="22"/>
        </w:rPr>
      </w:pPr>
      <w:hyperlink w:anchor="_Toc370211892" w:history="1">
        <w:r w:rsidR="00442ABA" w:rsidRPr="00086CA5">
          <w:rPr>
            <w:rStyle w:val="Hyperlink"/>
            <w:rFonts w:cs="Times New Roman"/>
            <w:noProof/>
            <w:lang w:val="ro-RO"/>
          </w:rPr>
          <w:t>1.</w:t>
        </w:r>
        <w:r w:rsidR="00442ABA">
          <w:rPr>
            <w:rFonts w:asciiTheme="minorHAnsi" w:eastAsiaTheme="minorEastAsia" w:hAnsiTheme="minorHAnsi" w:cstheme="minorBidi"/>
            <w:noProof/>
            <w:sz w:val="22"/>
            <w:szCs w:val="22"/>
          </w:rPr>
          <w:tab/>
        </w:r>
        <w:r w:rsidR="00442ABA" w:rsidRPr="00086CA5">
          <w:rPr>
            <w:rStyle w:val="Hyperlink"/>
            <w:noProof/>
            <w:lang w:val="ro-RO"/>
          </w:rPr>
          <w:t>Monitorizarea şi evaluarea implementării Strategiei</w:t>
        </w:r>
        <w:r w:rsidR="00442ABA">
          <w:rPr>
            <w:noProof/>
            <w:webHidden/>
          </w:rPr>
          <w:tab/>
        </w:r>
        <w:r w:rsidR="00442ABA">
          <w:rPr>
            <w:noProof/>
            <w:webHidden/>
          </w:rPr>
          <w:fldChar w:fldCharType="begin"/>
        </w:r>
        <w:r w:rsidR="00442ABA">
          <w:rPr>
            <w:noProof/>
            <w:webHidden/>
          </w:rPr>
          <w:instrText xml:space="preserve"> PAGEREF _Toc370211892 \h </w:instrText>
        </w:r>
        <w:r w:rsidR="00442ABA">
          <w:rPr>
            <w:noProof/>
            <w:webHidden/>
          </w:rPr>
        </w:r>
        <w:r w:rsidR="00442ABA">
          <w:rPr>
            <w:noProof/>
            <w:webHidden/>
          </w:rPr>
          <w:fldChar w:fldCharType="separate"/>
        </w:r>
        <w:r w:rsidR="00442ABA">
          <w:rPr>
            <w:noProof/>
            <w:webHidden/>
          </w:rPr>
          <w:t>47</w:t>
        </w:r>
        <w:r w:rsidR="00442ABA">
          <w:rPr>
            <w:noProof/>
            <w:webHidden/>
          </w:rPr>
          <w:fldChar w:fldCharType="end"/>
        </w:r>
      </w:hyperlink>
    </w:p>
    <w:p w:rsidR="00442ABA" w:rsidRDefault="00AF3695">
      <w:pPr>
        <w:pStyle w:val="TOC3"/>
        <w:tabs>
          <w:tab w:val="left" w:pos="660"/>
          <w:tab w:val="right" w:leader="dot" w:pos="9350"/>
        </w:tabs>
        <w:rPr>
          <w:rFonts w:asciiTheme="minorHAnsi" w:eastAsiaTheme="minorEastAsia" w:hAnsiTheme="minorHAnsi" w:cstheme="minorBidi"/>
          <w:noProof/>
          <w:sz w:val="22"/>
          <w:szCs w:val="22"/>
        </w:rPr>
      </w:pPr>
      <w:hyperlink w:anchor="_Toc370211893" w:history="1">
        <w:r w:rsidR="00442ABA" w:rsidRPr="00086CA5">
          <w:rPr>
            <w:rStyle w:val="Hyperlink"/>
            <w:rFonts w:cs="Times New Roman"/>
            <w:noProof/>
            <w:lang w:val="ro-RO"/>
          </w:rPr>
          <w:t>2.</w:t>
        </w:r>
        <w:r w:rsidR="00442ABA">
          <w:rPr>
            <w:rFonts w:asciiTheme="minorHAnsi" w:eastAsiaTheme="minorEastAsia" w:hAnsiTheme="minorHAnsi" w:cstheme="minorBidi"/>
            <w:noProof/>
            <w:sz w:val="22"/>
            <w:szCs w:val="22"/>
          </w:rPr>
          <w:tab/>
        </w:r>
        <w:r w:rsidR="00442ABA" w:rsidRPr="00086CA5">
          <w:rPr>
            <w:rStyle w:val="Hyperlink"/>
            <w:noProof/>
            <w:lang w:val="ro-RO"/>
          </w:rPr>
          <w:t>Dezvoltarea capacităţii de management şi de implementare a entităţilor implicate în implementarea Strategiei</w:t>
        </w:r>
        <w:r w:rsidR="00442ABA">
          <w:rPr>
            <w:noProof/>
            <w:webHidden/>
          </w:rPr>
          <w:tab/>
        </w:r>
        <w:r w:rsidR="00442ABA">
          <w:rPr>
            <w:noProof/>
            <w:webHidden/>
          </w:rPr>
          <w:fldChar w:fldCharType="begin"/>
        </w:r>
        <w:r w:rsidR="00442ABA">
          <w:rPr>
            <w:noProof/>
            <w:webHidden/>
          </w:rPr>
          <w:instrText xml:space="preserve"> PAGEREF _Toc370211893 \h </w:instrText>
        </w:r>
        <w:r w:rsidR="00442ABA">
          <w:rPr>
            <w:noProof/>
            <w:webHidden/>
          </w:rPr>
        </w:r>
        <w:r w:rsidR="00442ABA">
          <w:rPr>
            <w:noProof/>
            <w:webHidden/>
          </w:rPr>
          <w:fldChar w:fldCharType="separate"/>
        </w:r>
        <w:r w:rsidR="00442ABA">
          <w:rPr>
            <w:noProof/>
            <w:webHidden/>
          </w:rPr>
          <w:t>48</w:t>
        </w:r>
        <w:r w:rsidR="00442ABA">
          <w:rPr>
            <w:noProof/>
            <w:webHidden/>
          </w:rPr>
          <w:fldChar w:fldCharType="end"/>
        </w:r>
      </w:hyperlink>
    </w:p>
    <w:p w:rsidR="00442ABA" w:rsidRDefault="00AF3695">
      <w:pPr>
        <w:pStyle w:val="TOC3"/>
        <w:tabs>
          <w:tab w:val="left" w:pos="660"/>
          <w:tab w:val="right" w:leader="dot" w:pos="9350"/>
        </w:tabs>
        <w:rPr>
          <w:rFonts w:asciiTheme="minorHAnsi" w:eastAsiaTheme="minorEastAsia" w:hAnsiTheme="minorHAnsi" w:cstheme="minorBidi"/>
          <w:noProof/>
          <w:sz w:val="22"/>
          <w:szCs w:val="22"/>
        </w:rPr>
      </w:pPr>
      <w:hyperlink w:anchor="_Toc370211894" w:history="1">
        <w:r w:rsidR="00442ABA" w:rsidRPr="00086CA5">
          <w:rPr>
            <w:rStyle w:val="Hyperlink"/>
            <w:rFonts w:cs="Times New Roman"/>
            <w:noProof/>
            <w:lang w:val="ro-RO"/>
          </w:rPr>
          <w:t>3.</w:t>
        </w:r>
        <w:r w:rsidR="00442ABA">
          <w:rPr>
            <w:rFonts w:asciiTheme="minorHAnsi" w:eastAsiaTheme="minorEastAsia" w:hAnsiTheme="minorHAnsi" w:cstheme="minorBidi"/>
            <w:noProof/>
            <w:sz w:val="22"/>
            <w:szCs w:val="22"/>
          </w:rPr>
          <w:tab/>
        </w:r>
        <w:r w:rsidR="00442ABA" w:rsidRPr="00086CA5">
          <w:rPr>
            <w:rStyle w:val="Hyperlink"/>
            <w:noProof/>
            <w:lang w:val="ro-RO"/>
          </w:rPr>
          <w:t>Informare publică şi dialog social</w:t>
        </w:r>
        <w:r w:rsidR="00442ABA">
          <w:rPr>
            <w:noProof/>
            <w:webHidden/>
          </w:rPr>
          <w:tab/>
        </w:r>
        <w:r w:rsidR="00442ABA">
          <w:rPr>
            <w:noProof/>
            <w:webHidden/>
          </w:rPr>
          <w:fldChar w:fldCharType="begin"/>
        </w:r>
        <w:r w:rsidR="00442ABA">
          <w:rPr>
            <w:noProof/>
            <w:webHidden/>
          </w:rPr>
          <w:instrText xml:space="preserve"> PAGEREF _Toc370211894 \h </w:instrText>
        </w:r>
        <w:r w:rsidR="00442ABA">
          <w:rPr>
            <w:noProof/>
            <w:webHidden/>
          </w:rPr>
        </w:r>
        <w:r w:rsidR="00442ABA">
          <w:rPr>
            <w:noProof/>
            <w:webHidden/>
          </w:rPr>
          <w:fldChar w:fldCharType="separate"/>
        </w:r>
        <w:r w:rsidR="00442ABA">
          <w:rPr>
            <w:noProof/>
            <w:webHidden/>
          </w:rPr>
          <w:t>49</w:t>
        </w:r>
        <w:r w:rsidR="00442ABA">
          <w:rPr>
            <w:noProof/>
            <w:webHidden/>
          </w:rPr>
          <w:fldChar w:fldCharType="end"/>
        </w:r>
      </w:hyperlink>
    </w:p>
    <w:p w:rsidR="00442ABA" w:rsidRDefault="00AF3695">
      <w:pPr>
        <w:pStyle w:val="TOC1"/>
        <w:tabs>
          <w:tab w:val="right" w:leader="dot" w:pos="9350"/>
        </w:tabs>
        <w:rPr>
          <w:rFonts w:asciiTheme="minorHAnsi" w:eastAsiaTheme="minorEastAsia" w:hAnsiTheme="minorHAnsi" w:cstheme="minorBidi"/>
          <w:b w:val="0"/>
          <w:bCs w:val="0"/>
          <w:caps w:val="0"/>
          <w:noProof/>
          <w:sz w:val="22"/>
          <w:szCs w:val="22"/>
        </w:rPr>
      </w:pPr>
      <w:hyperlink w:anchor="_Toc370211895" w:history="1">
        <w:r w:rsidR="00442ABA" w:rsidRPr="00086CA5">
          <w:rPr>
            <w:rStyle w:val="Hyperlink"/>
            <w:noProof/>
            <w:lang w:val="ro-RO"/>
          </w:rPr>
          <w:t>Anexă</w:t>
        </w:r>
        <w:r w:rsidR="00442ABA">
          <w:rPr>
            <w:noProof/>
            <w:webHidden/>
          </w:rPr>
          <w:tab/>
        </w:r>
        <w:r w:rsidR="00442ABA">
          <w:rPr>
            <w:noProof/>
            <w:webHidden/>
          </w:rPr>
          <w:fldChar w:fldCharType="begin"/>
        </w:r>
        <w:r w:rsidR="00442ABA">
          <w:rPr>
            <w:noProof/>
            <w:webHidden/>
          </w:rPr>
          <w:instrText xml:space="preserve"> PAGEREF _Toc370211895 \h </w:instrText>
        </w:r>
        <w:r w:rsidR="00442ABA">
          <w:rPr>
            <w:noProof/>
            <w:webHidden/>
          </w:rPr>
        </w:r>
        <w:r w:rsidR="00442ABA">
          <w:rPr>
            <w:noProof/>
            <w:webHidden/>
          </w:rPr>
          <w:fldChar w:fldCharType="separate"/>
        </w:r>
        <w:r w:rsidR="00442ABA">
          <w:rPr>
            <w:noProof/>
            <w:webHidden/>
          </w:rPr>
          <w:t>50</w:t>
        </w:r>
        <w:r w:rsidR="00442ABA">
          <w:rPr>
            <w:noProof/>
            <w:webHidden/>
          </w:rPr>
          <w:fldChar w:fldCharType="end"/>
        </w:r>
      </w:hyperlink>
    </w:p>
    <w:p w:rsidR="00442ABA" w:rsidRDefault="00AF3695">
      <w:pPr>
        <w:pStyle w:val="TOC2"/>
        <w:tabs>
          <w:tab w:val="right" w:leader="dot" w:pos="9350"/>
        </w:tabs>
        <w:rPr>
          <w:rFonts w:asciiTheme="minorHAnsi" w:eastAsiaTheme="minorEastAsia" w:hAnsiTheme="minorHAnsi" w:cstheme="minorBidi"/>
          <w:b w:val="0"/>
          <w:bCs w:val="0"/>
          <w:noProof/>
          <w:sz w:val="22"/>
          <w:szCs w:val="22"/>
        </w:rPr>
      </w:pPr>
      <w:hyperlink w:anchor="_Toc370211896" w:history="1">
        <w:r w:rsidR="00442ABA" w:rsidRPr="00086CA5">
          <w:rPr>
            <w:rStyle w:val="Hyperlink"/>
            <w:noProof/>
            <w:lang w:val="ro-RO"/>
          </w:rPr>
          <w:t>Indicatori pentru urmărirea efectelor pe care politicile în domeniul tineretului le au asupra situaţiei tinerilor</w:t>
        </w:r>
        <w:r w:rsidR="00442ABA">
          <w:rPr>
            <w:noProof/>
            <w:webHidden/>
          </w:rPr>
          <w:tab/>
        </w:r>
        <w:r w:rsidR="00442ABA">
          <w:rPr>
            <w:noProof/>
            <w:webHidden/>
          </w:rPr>
          <w:fldChar w:fldCharType="begin"/>
        </w:r>
        <w:r w:rsidR="00442ABA">
          <w:rPr>
            <w:noProof/>
            <w:webHidden/>
          </w:rPr>
          <w:instrText xml:space="preserve"> PAGEREF _Toc370211896 \h </w:instrText>
        </w:r>
        <w:r w:rsidR="00442ABA">
          <w:rPr>
            <w:noProof/>
            <w:webHidden/>
          </w:rPr>
        </w:r>
        <w:r w:rsidR="00442ABA">
          <w:rPr>
            <w:noProof/>
            <w:webHidden/>
          </w:rPr>
          <w:fldChar w:fldCharType="separate"/>
        </w:r>
        <w:r w:rsidR="00442ABA">
          <w:rPr>
            <w:noProof/>
            <w:webHidden/>
          </w:rPr>
          <w:t>50</w:t>
        </w:r>
        <w:r w:rsidR="00442ABA">
          <w:rPr>
            <w:noProof/>
            <w:webHidden/>
          </w:rPr>
          <w:fldChar w:fldCharType="end"/>
        </w:r>
      </w:hyperlink>
    </w:p>
    <w:p w:rsidR="00442ABA" w:rsidRDefault="00AF3695">
      <w:pPr>
        <w:pStyle w:val="TOC3"/>
        <w:tabs>
          <w:tab w:val="right" w:leader="dot" w:pos="9350"/>
        </w:tabs>
        <w:rPr>
          <w:rFonts w:asciiTheme="minorHAnsi" w:eastAsiaTheme="minorEastAsia" w:hAnsiTheme="minorHAnsi" w:cstheme="minorBidi"/>
          <w:noProof/>
          <w:sz w:val="22"/>
          <w:szCs w:val="22"/>
        </w:rPr>
      </w:pPr>
      <w:hyperlink w:anchor="_Toc370211897" w:history="1">
        <w:r w:rsidR="00442ABA" w:rsidRPr="00086CA5">
          <w:rPr>
            <w:rStyle w:val="Hyperlink"/>
            <w:noProof/>
            <w:lang w:val="ro-RO"/>
          </w:rPr>
          <w:t>Indicatori contextuali</w:t>
        </w:r>
        <w:r w:rsidR="00442ABA">
          <w:rPr>
            <w:noProof/>
            <w:webHidden/>
          </w:rPr>
          <w:tab/>
        </w:r>
        <w:r w:rsidR="00442ABA">
          <w:rPr>
            <w:noProof/>
            <w:webHidden/>
          </w:rPr>
          <w:fldChar w:fldCharType="begin"/>
        </w:r>
        <w:r w:rsidR="00442ABA">
          <w:rPr>
            <w:noProof/>
            <w:webHidden/>
          </w:rPr>
          <w:instrText xml:space="preserve"> PAGEREF _Toc370211897 \h </w:instrText>
        </w:r>
        <w:r w:rsidR="00442ABA">
          <w:rPr>
            <w:noProof/>
            <w:webHidden/>
          </w:rPr>
        </w:r>
        <w:r w:rsidR="00442ABA">
          <w:rPr>
            <w:noProof/>
            <w:webHidden/>
          </w:rPr>
          <w:fldChar w:fldCharType="separate"/>
        </w:r>
        <w:r w:rsidR="00442ABA">
          <w:rPr>
            <w:noProof/>
            <w:webHidden/>
          </w:rPr>
          <w:t>50</w:t>
        </w:r>
        <w:r w:rsidR="00442ABA">
          <w:rPr>
            <w:noProof/>
            <w:webHidden/>
          </w:rPr>
          <w:fldChar w:fldCharType="end"/>
        </w:r>
      </w:hyperlink>
    </w:p>
    <w:p w:rsidR="00442ABA" w:rsidRDefault="00AF3695">
      <w:pPr>
        <w:pStyle w:val="TOC3"/>
        <w:tabs>
          <w:tab w:val="right" w:leader="dot" w:pos="9350"/>
        </w:tabs>
        <w:rPr>
          <w:rFonts w:asciiTheme="minorHAnsi" w:eastAsiaTheme="minorEastAsia" w:hAnsiTheme="minorHAnsi" w:cstheme="minorBidi"/>
          <w:noProof/>
          <w:sz w:val="22"/>
          <w:szCs w:val="22"/>
        </w:rPr>
      </w:pPr>
      <w:hyperlink w:anchor="_Toc370211898" w:history="1">
        <w:r w:rsidR="00442ABA" w:rsidRPr="00086CA5">
          <w:rPr>
            <w:rStyle w:val="Hyperlink"/>
            <w:noProof/>
            <w:lang w:val="ro-RO"/>
          </w:rPr>
          <w:t>Educaţie şi training</w:t>
        </w:r>
        <w:r w:rsidR="00442ABA">
          <w:rPr>
            <w:noProof/>
            <w:webHidden/>
          </w:rPr>
          <w:tab/>
        </w:r>
        <w:r w:rsidR="00442ABA">
          <w:rPr>
            <w:noProof/>
            <w:webHidden/>
          </w:rPr>
          <w:fldChar w:fldCharType="begin"/>
        </w:r>
        <w:r w:rsidR="00442ABA">
          <w:rPr>
            <w:noProof/>
            <w:webHidden/>
          </w:rPr>
          <w:instrText xml:space="preserve"> PAGEREF _Toc370211898 \h </w:instrText>
        </w:r>
        <w:r w:rsidR="00442ABA">
          <w:rPr>
            <w:noProof/>
            <w:webHidden/>
          </w:rPr>
        </w:r>
        <w:r w:rsidR="00442ABA">
          <w:rPr>
            <w:noProof/>
            <w:webHidden/>
          </w:rPr>
          <w:fldChar w:fldCharType="separate"/>
        </w:r>
        <w:r w:rsidR="00442ABA">
          <w:rPr>
            <w:noProof/>
            <w:webHidden/>
          </w:rPr>
          <w:t>50</w:t>
        </w:r>
        <w:r w:rsidR="00442ABA">
          <w:rPr>
            <w:noProof/>
            <w:webHidden/>
          </w:rPr>
          <w:fldChar w:fldCharType="end"/>
        </w:r>
      </w:hyperlink>
    </w:p>
    <w:p w:rsidR="00442ABA" w:rsidRDefault="00AF3695">
      <w:pPr>
        <w:pStyle w:val="TOC3"/>
        <w:tabs>
          <w:tab w:val="right" w:leader="dot" w:pos="9350"/>
        </w:tabs>
        <w:rPr>
          <w:rFonts w:asciiTheme="minorHAnsi" w:eastAsiaTheme="minorEastAsia" w:hAnsiTheme="minorHAnsi" w:cstheme="minorBidi"/>
          <w:noProof/>
          <w:sz w:val="22"/>
          <w:szCs w:val="22"/>
        </w:rPr>
      </w:pPr>
      <w:hyperlink w:anchor="_Toc370211899" w:history="1">
        <w:r w:rsidR="00442ABA" w:rsidRPr="00086CA5">
          <w:rPr>
            <w:rStyle w:val="Hyperlink"/>
            <w:noProof/>
            <w:lang w:val="ro-RO"/>
          </w:rPr>
          <w:t>Ocupare şi antreprenoriat</w:t>
        </w:r>
        <w:r w:rsidR="00442ABA">
          <w:rPr>
            <w:noProof/>
            <w:webHidden/>
          </w:rPr>
          <w:tab/>
        </w:r>
        <w:r w:rsidR="00442ABA">
          <w:rPr>
            <w:noProof/>
            <w:webHidden/>
          </w:rPr>
          <w:fldChar w:fldCharType="begin"/>
        </w:r>
        <w:r w:rsidR="00442ABA">
          <w:rPr>
            <w:noProof/>
            <w:webHidden/>
          </w:rPr>
          <w:instrText xml:space="preserve"> PAGEREF _Toc370211899 \h </w:instrText>
        </w:r>
        <w:r w:rsidR="00442ABA">
          <w:rPr>
            <w:noProof/>
            <w:webHidden/>
          </w:rPr>
        </w:r>
        <w:r w:rsidR="00442ABA">
          <w:rPr>
            <w:noProof/>
            <w:webHidden/>
          </w:rPr>
          <w:fldChar w:fldCharType="separate"/>
        </w:r>
        <w:r w:rsidR="00442ABA">
          <w:rPr>
            <w:noProof/>
            <w:webHidden/>
          </w:rPr>
          <w:t>50</w:t>
        </w:r>
        <w:r w:rsidR="00442ABA">
          <w:rPr>
            <w:noProof/>
            <w:webHidden/>
          </w:rPr>
          <w:fldChar w:fldCharType="end"/>
        </w:r>
      </w:hyperlink>
    </w:p>
    <w:p w:rsidR="00442ABA" w:rsidRDefault="00AF3695">
      <w:pPr>
        <w:pStyle w:val="TOC3"/>
        <w:tabs>
          <w:tab w:val="right" w:leader="dot" w:pos="9350"/>
        </w:tabs>
        <w:rPr>
          <w:rFonts w:asciiTheme="minorHAnsi" w:eastAsiaTheme="minorEastAsia" w:hAnsiTheme="minorHAnsi" w:cstheme="minorBidi"/>
          <w:noProof/>
          <w:sz w:val="22"/>
          <w:szCs w:val="22"/>
        </w:rPr>
      </w:pPr>
      <w:hyperlink w:anchor="_Toc370211900" w:history="1">
        <w:r w:rsidR="00442ABA" w:rsidRPr="00086CA5">
          <w:rPr>
            <w:rStyle w:val="Hyperlink"/>
            <w:noProof/>
            <w:lang w:val="ro-RO"/>
          </w:rPr>
          <w:t>Sănătate şi bunăstare</w:t>
        </w:r>
        <w:r w:rsidR="00442ABA">
          <w:rPr>
            <w:noProof/>
            <w:webHidden/>
          </w:rPr>
          <w:tab/>
        </w:r>
        <w:r w:rsidR="00442ABA">
          <w:rPr>
            <w:noProof/>
            <w:webHidden/>
          </w:rPr>
          <w:fldChar w:fldCharType="begin"/>
        </w:r>
        <w:r w:rsidR="00442ABA">
          <w:rPr>
            <w:noProof/>
            <w:webHidden/>
          </w:rPr>
          <w:instrText xml:space="preserve"> PAGEREF _Toc370211900 \h </w:instrText>
        </w:r>
        <w:r w:rsidR="00442ABA">
          <w:rPr>
            <w:noProof/>
            <w:webHidden/>
          </w:rPr>
        </w:r>
        <w:r w:rsidR="00442ABA">
          <w:rPr>
            <w:noProof/>
            <w:webHidden/>
          </w:rPr>
          <w:fldChar w:fldCharType="separate"/>
        </w:r>
        <w:r w:rsidR="00442ABA">
          <w:rPr>
            <w:noProof/>
            <w:webHidden/>
          </w:rPr>
          <w:t>51</w:t>
        </w:r>
        <w:r w:rsidR="00442ABA">
          <w:rPr>
            <w:noProof/>
            <w:webHidden/>
          </w:rPr>
          <w:fldChar w:fldCharType="end"/>
        </w:r>
      </w:hyperlink>
    </w:p>
    <w:p w:rsidR="00442ABA" w:rsidRDefault="00AF3695">
      <w:pPr>
        <w:pStyle w:val="TOC3"/>
        <w:tabs>
          <w:tab w:val="right" w:leader="dot" w:pos="9350"/>
        </w:tabs>
        <w:rPr>
          <w:rFonts w:asciiTheme="minorHAnsi" w:eastAsiaTheme="minorEastAsia" w:hAnsiTheme="minorHAnsi" w:cstheme="minorBidi"/>
          <w:noProof/>
          <w:sz w:val="22"/>
          <w:szCs w:val="22"/>
        </w:rPr>
      </w:pPr>
      <w:hyperlink w:anchor="_Toc370211901" w:history="1">
        <w:r w:rsidR="00442ABA" w:rsidRPr="00086CA5">
          <w:rPr>
            <w:rStyle w:val="Hyperlink"/>
            <w:noProof/>
            <w:lang w:val="ro-RO"/>
          </w:rPr>
          <w:t>Incluziune socială</w:t>
        </w:r>
        <w:r w:rsidR="00442ABA">
          <w:rPr>
            <w:noProof/>
            <w:webHidden/>
          </w:rPr>
          <w:tab/>
        </w:r>
        <w:r w:rsidR="00442ABA">
          <w:rPr>
            <w:noProof/>
            <w:webHidden/>
          </w:rPr>
          <w:fldChar w:fldCharType="begin"/>
        </w:r>
        <w:r w:rsidR="00442ABA">
          <w:rPr>
            <w:noProof/>
            <w:webHidden/>
          </w:rPr>
          <w:instrText xml:space="preserve"> PAGEREF _Toc370211901 \h </w:instrText>
        </w:r>
        <w:r w:rsidR="00442ABA">
          <w:rPr>
            <w:noProof/>
            <w:webHidden/>
          </w:rPr>
        </w:r>
        <w:r w:rsidR="00442ABA">
          <w:rPr>
            <w:noProof/>
            <w:webHidden/>
          </w:rPr>
          <w:fldChar w:fldCharType="separate"/>
        </w:r>
        <w:r w:rsidR="00442ABA">
          <w:rPr>
            <w:noProof/>
            <w:webHidden/>
          </w:rPr>
          <w:t>51</w:t>
        </w:r>
        <w:r w:rsidR="00442ABA">
          <w:rPr>
            <w:noProof/>
            <w:webHidden/>
          </w:rPr>
          <w:fldChar w:fldCharType="end"/>
        </w:r>
      </w:hyperlink>
    </w:p>
    <w:p w:rsidR="00442ABA" w:rsidRDefault="00AF3695">
      <w:pPr>
        <w:pStyle w:val="TOC3"/>
        <w:tabs>
          <w:tab w:val="right" w:leader="dot" w:pos="9350"/>
        </w:tabs>
        <w:rPr>
          <w:rFonts w:asciiTheme="minorHAnsi" w:eastAsiaTheme="minorEastAsia" w:hAnsiTheme="minorHAnsi" w:cstheme="minorBidi"/>
          <w:noProof/>
          <w:sz w:val="22"/>
          <w:szCs w:val="22"/>
        </w:rPr>
      </w:pPr>
      <w:hyperlink w:anchor="_Toc370211902" w:history="1">
        <w:r w:rsidR="00442ABA" w:rsidRPr="00086CA5">
          <w:rPr>
            <w:rStyle w:val="Hyperlink"/>
            <w:noProof/>
            <w:lang w:val="ro-RO"/>
          </w:rPr>
          <w:t>Cultură şi creativitate</w:t>
        </w:r>
        <w:r w:rsidR="00442ABA">
          <w:rPr>
            <w:noProof/>
            <w:webHidden/>
          </w:rPr>
          <w:tab/>
        </w:r>
        <w:r w:rsidR="00442ABA">
          <w:rPr>
            <w:noProof/>
            <w:webHidden/>
          </w:rPr>
          <w:fldChar w:fldCharType="begin"/>
        </w:r>
        <w:r w:rsidR="00442ABA">
          <w:rPr>
            <w:noProof/>
            <w:webHidden/>
          </w:rPr>
          <w:instrText xml:space="preserve"> PAGEREF _Toc370211902 \h </w:instrText>
        </w:r>
        <w:r w:rsidR="00442ABA">
          <w:rPr>
            <w:noProof/>
            <w:webHidden/>
          </w:rPr>
        </w:r>
        <w:r w:rsidR="00442ABA">
          <w:rPr>
            <w:noProof/>
            <w:webHidden/>
          </w:rPr>
          <w:fldChar w:fldCharType="separate"/>
        </w:r>
        <w:r w:rsidR="00442ABA">
          <w:rPr>
            <w:noProof/>
            <w:webHidden/>
          </w:rPr>
          <w:t>53</w:t>
        </w:r>
        <w:r w:rsidR="00442ABA">
          <w:rPr>
            <w:noProof/>
            <w:webHidden/>
          </w:rPr>
          <w:fldChar w:fldCharType="end"/>
        </w:r>
      </w:hyperlink>
    </w:p>
    <w:p w:rsidR="00442ABA" w:rsidRDefault="00AF3695">
      <w:pPr>
        <w:pStyle w:val="TOC3"/>
        <w:tabs>
          <w:tab w:val="right" w:leader="dot" w:pos="9350"/>
        </w:tabs>
        <w:rPr>
          <w:rFonts w:asciiTheme="minorHAnsi" w:eastAsiaTheme="minorEastAsia" w:hAnsiTheme="minorHAnsi" w:cstheme="minorBidi"/>
          <w:noProof/>
          <w:sz w:val="22"/>
          <w:szCs w:val="22"/>
        </w:rPr>
      </w:pPr>
      <w:hyperlink w:anchor="_Toc370211903" w:history="1">
        <w:r w:rsidR="00442ABA" w:rsidRPr="00086CA5">
          <w:rPr>
            <w:rStyle w:val="Hyperlink"/>
            <w:noProof/>
            <w:lang w:val="ro-RO"/>
          </w:rPr>
          <w:t>Participarea tinerilor</w:t>
        </w:r>
        <w:r w:rsidR="00442ABA">
          <w:rPr>
            <w:noProof/>
            <w:webHidden/>
          </w:rPr>
          <w:tab/>
        </w:r>
        <w:r w:rsidR="00442ABA">
          <w:rPr>
            <w:noProof/>
            <w:webHidden/>
          </w:rPr>
          <w:fldChar w:fldCharType="begin"/>
        </w:r>
        <w:r w:rsidR="00442ABA">
          <w:rPr>
            <w:noProof/>
            <w:webHidden/>
          </w:rPr>
          <w:instrText xml:space="preserve"> PAGEREF _Toc370211903 \h </w:instrText>
        </w:r>
        <w:r w:rsidR="00442ABA">
          <w:rPr>
            <w:noProof/>
            <w:webHidden/>
          </w:rPr>
        </w:r>
        <w:r w:rsidR="00442ABA">
          <w:rPr>
            <w:noProof/>
            <w:webHidden/>
          </w:rPr>
          <w:fldChar w:fldCharType="separate"/>
        </w:r>
        <w:r w:rsidR="00442ABA">
          <w:rPr>
            <w:noProof/>
            <w:webHidden/>
          </w:rPr>
          <w:t>54</w:t>
        </w:r>
        <w:r w:rsidR="00442ABA">
          <w:rPr>
            <w:noProof/>
            <w:webHidden/>
          </w:rPr>
          <w:fldChar w:fldCharType="end"/>
        </w:r>
      </w:hyperlink>
    </w:p>
    <w:p w:rsidR="00442ABA" w:rsidRDefault="00AF3695">
      <w:pPr>
        <w:pStyle w:val="TOC3"/>
        <w:tabs>
          <w:tab w:val="right" w:leader="dot" w:pos="9350"/>
        </w:tabs>
        <w:rPr>
          <w:rFonts w:asciiTheme="minorHAnsi" w:eastAsiaTheme="minorEastAsia" w:hAnsiTheme="minorHAnsi" w:cstheme="minorBidi"/>
          <w:noProof/>
          <w:sz w:val="22"/>
          <w:szCs w:val="22"/>
        </w:rPr>
      </w:pPr>
      <w:hyperlink w:anchor="_Toc370211904" w:history="1">
        <w:r w:rsidR="00442ABA" w:rsidRPr="00086CA5">
          <w:rPr>
            <w:rStyle w:val="Hyperlink"/>
            <w:noProof/>
            <w:lang w:val="ro-RO"/>
          </w:rPr>
          <w:t>Activităţi voluntare</w:t>
        </w:r>
        <w:r w:rsidR="00442ABA">
          <w:rPr>
            <w:noProof/>
            <w:webHidden/>
          </w:rPr>
          <w:tab/>
        </w:r>
        <w:r w:rsidR="00442ABA">
          <w:rPr>
            <w:noProof/>
            <w:webHidden/>
          </w:rPr>
          <w:fldChar w:fldCharType="begin"/>
        </w:r>
        <w:r w:rsidR="00442ABA">
          <w:rPr>
            <w:noProof/>
            <w:webHidden/>
          </w:rPr>
          <w:instrText xml:space="preserve"> PAGEREF _Toc370211904 \h </w:instrText>
        </w:r>
        <w:r w:rsidR="00442ABA">
          <w:rPr>
            <w:noProof/>
            <w:webHidden/>
          </w:rPr>
        </w:r>
        <w:r w:rsidR="00442ABA">
          <w:rPr>
            <w:noProof/>
            <w:webHidden/>
          </w:rPr>
          <w:fldChar w:fldCharType="separate"/>
        </w:r>
        <w:r w:rsidR="00442ABA">
          <w:rPr>
            <w:noProof/>
            <w:webHidden/>
          </w:rPr>
          <w:t>54</w:t>
        </w:r>
        <w:r w:rsidR="00442ABA">
          <w:rPr>
            <w:noProof/>
            <w:webHidden/>
          </w:rPr>
          <w:fldChar w:fldCharType="end"/>
        </w:r>
      </w:hyperlink>
    </w:p>
    <w:p w:rsidR="00442ABA" w:rsidRDefault="00AF3695">
      <w:pPr>
        <w:pStyle w:val="TOC3"/>
        <w:tabs>
          <w:tab w:val="right" w:leader="dot" w:pos="9350"/>
        </w:tabs>
        <w:rPr>
          <w:rFonts w:asciiTheme="minorHAnsi" w:eastAsiaTheme="minorEastAsia" w:hAnsiTheme="minorHAnsi" w:cstheme="minorBidi"/>
          <w:noProof/>
          <w:sz w:val="22"/>
          <w:szCs w:val="22"/>
        </w:rPr>
      </w:pPr>
      <w:hyperlink w:anchor="_Toc370211905" w:history="1">
        <w:r w:rsidR="00442ABA" w:rsidRPr="00086CA5">
          <w:rPr>
            <w:rStyle w:val="Hyperlink"/>
            <w:noProof/>
            <w:lang w:val="ro-RO"/>
          </w:rPr>
          <w:t>Tineretul şi lumea</w:t>
        </w:r>
        <w:r w:rsidR="00442ABA">
          <w:rPr>
            <w:noProof/>
            <w:webHidden/>
          </w:rPr>
          <w:tab/>
        </w:r>
        <w:r w:rsidR="00442ABA">
          <w:rPr>
            <w:noProof/>
            <w:webHidden/>
          </w:rPr>
          <w:fldChar w:fldCharType="begin"/>
        </w:r>
        <w:r w:rsidR="00442ABA">
          <w:rPr>
            <w:noProof/>
            <w:webHidden/>
          </w:rPr>
          <w:instrText xml:space="preserve"> PAGEREF _Toc370211905 \h </w:instrText>
        </w:r>
        <w:r w:rsidR="00442ABA">
          <w:rPr>
            <w:noProof/>
            <w:webHidden/>
          </w:rPr>
        </w:r>
        <w:r w:rsidR="00442ABA">
          <w:rPr>
            <w:noProof/>
            <w:webHidden/>
          </w:rPr>
          <w:fldChar w:fldCharType="separate"/>
        </w:r>
        <w:r w:rsidR="00442ABA">
          <w:rPr>
            <w:noProof/>
            <w:webHidden/>
          </w:rPr>
          <w:t>55</w:t>
        </w:r>
        <w:r w:rsidR="00442ABA">
          <w:rPr>
            <w:noProof/>
            <w:webHidden/>
          </w:rPr>
          <w:fldChar w:fldCharType="end"/>
        </w:r>
      </w:hyperlink>
    </w:p>
    <w:p w:rsidR="00B50A36" w:rsidRDefault="00E91D73" w:rsidP="00B12674">
      <w:pPr>
        <w:jc w:val="both"/>
      </w:pPr>
      <w:r>
        <w:fldChar w:fldCharType="end"/>
      </w:r>
    </w:p>
    <w:p w:rsidR="00B50A36" w:rsidRPr="00F473EE" w:rsidRDefault="00B50A36" w:rsidP="00B12674">
      <w:pPr>
        <w:jc w:val="both"/>
        <w:rPr>
          <w:sz w:val="24"/>
          <w:szCs w:val="24"/>
          <w:lang w:val="ro-RO"/>
        </w:rPr>
      </w:pPr>
    </w:p>
    <w:p w:rsidR="00B50A36" w:rsidRDefault="00B50A36" w:rsidP="00B12674">
      <w:pPr>
        <w:jc w:val="both"/>
        <w:rPr>
          <w:lang w:val="ro-RO"/>
        </w:rPr>
      </w:pPr>
    </w:p>
    <w:p w:rsidR="00B50A36" w:rsidRDefault="00B50A36" w:rsidP="00B12674">
      <w:pPr>
        <w:jc w:val="both"/>
        <w:rPr>
          <w:lang w:val="ro-RO"/>
        </w:rPr>
      </w:pPr>
    </w:p>
    <w:p w:rsidR="00B50A36" w:rsidRDefault="00B50A36" w:rsidP="00B12674">
      <w:pPr>
        <w:jc w:val="both"/>
        <w:rPr>
          <w:lang w:val="ro-RO"/>
        </w:rPr>
      </w:pPr>
    </w:p>
    <w:p w:rsidR="00B50A36" w:rsidRDefault="00B50A36" w:rsidP="00B12674">
      <w:pPr>
        <w:jc w:val="both"/>
        <w:rPr>
          <w:lang w:val="ro-RO"/>
        </w:rPr>
      </w:pPr>
    </w:p>
    <w:p w:rsidR="00822FF7" w:rsidRDefault="00822FF7" w:rsidP="00B12674">
      <w:pPr>
        <w:jc w:val="both"/>
        <w:rPr>
          <w:lang w:val="ro-RO"/>
        </w:rPr>
      </w:pPr>
    </w:p>
    <w:p w:rsidR="00822FF7" w:rsidRDefault="00822FF7" w:rsidP="00B12674">
      <w:pPr>
        <w:jc w:val="both"/>
        <w:rPr>
          <w:lang w:val="ro-RO"/>
        </w:rPr>
      </w:pPr>
    </w:p>
    <w:p w:rsidR="00822FF7" w:rsidRDefault="00822FF7" w:rsidP="00B12674">
      <w:pPr>
        <w:jc w:val="both"/>
        <w:rPr>
          <w:lang w:val="ro-RO"/>
        </w:rPr>
      </w:pPr>
    </w:p>
    <w:p w:rsidR="00FA6CF0" w:rsidRDefault="00FA6CF0" w:rsidP="00B12674">
      <w:pPr>
        <w:jc w:val="both"/>
        <w:rPr>
          <w:lang w:val="ro-RO"/>
        </w:rPr>
      </w:pPr>
    </w:p>
    <w:p w:rsidR="00B50A36" w:rsidRDefault="00B50A36" w:rsidP="00B12674">
      <w:pPr>
        <w:jc w:val="both"/>
        <w:rPr>
          <w:lang w:val="ro-RO"/>
        </w:rPr>
      </w:pPr>
    </w:p>
    <w:p w:rsidR="00B50A36" w:rsidRDefault="00B50A36" w:rsidP="00B12674">
      <w:pPr>
        <w:jc w:val="both"/>
        <w:rPr>
          <w:lang w:val="ro-RO"/>
        </w:rPr>
      </w:pPr>
    </w:p>
    <w:p w:rsidR="00B50A36" w:rsidRDefault="00B50A36" w:rsidP="00B12674">
      <w:pPr>
        <w:jc w:val="both"/>
        <w:rPr>
          <w:lang w:val="ro-RO"/>
        </w:rPr>
      </w:pPr>
    </w:p>
    <w:p w:rsidR="00B50A36" w:rsidRDefault="00B50A36" w:rsidP="00B12674">
      <w:pPr>
        <w:jc w:val="both"/>
        <w:rPr>
          <w:lang w:val="ro-RO"/>
        </w:rPr>
      </w:pPr>
    </w:p>
    <w:p w:rsidR="00822FF7" w:rsidRDefault="00822FF7" w:rsidP="00822FF7">
      <w:pPr>
        <w:spacing w:after="0" w:line="240" w:lineRule="auto"/>
        <w:rPr>
          <w:rFonts w:ascii="Cambria" w:hAnsi="Cambria" w:cs="Cambria"/>
          <w:b/>
          <w:bCs/>
          <w:color w:val="365F91"/>
          <w:sz w:val="28"/>
          <w:szCs w:val="28"/>
          <w:lang w:val="ro-RO"/>
        </w:rPr>
      </w:pPr>
    </w:p>
    <w:p w:rsidR="00822FF7" w:rsidRDefault="00822FF7" w:rsidP="00822FF7">
      <w:pPr>
        <w:spacing w:after="0" w:line="240" w:lineRule="auto"/>
        <w:rPr>
          <w:rFonts w:ascii="Cambria" w:hAnsi="Cambria" w:cs="Cambria"/>
          <w:b/>
          <w:bCs/>
          <w:color w:val="365F91"/>
          <w:sz w:val="28"/>
          <w:szCs w:val="28"/>
          <w:lang w:val="ro-RO"/>
        </w:rPr>
      </w:pPr>
    </w:p>
    <w:p w:rsidR="00B50A36" w:rsidRDefault="00B50A36" w:rsidP="00822FF7">
      <w:pPr>
        <w:spacing w:after="0" w:line="240" w:lineRule="auto"/>
        <w:rPr>
          <w:rFonts w:ascii="Cambria" w:hAnsi="Cambria" w:cs="Cambria"/>
          <w:b/>
          <w:bCs/>
          <w:color w:val="365F91"/>
          <w:sz w:val="28"/>
          <w:szCs w:val="28"/>
          <w:lang w:val="ro-RO"/>
        </w:rPr>
      </w:pPr>
    </w:p>
    <w:p w:rsidR="00C76ED0" w:rsidRDefault="00C76ED0">
      <w:pPr>
        <w:spacing w:after="0" w:line="240" w:lineRule="auto"/>
        <w:rPr>
          <w:rFonts w:ascii="Cambria" w:eastAsia="Times New Roman" w:hAnsi="Cambria" w:cs="Cambria"/>
          <w:b/>
          <w:bCs/>
          <w:color w:val="365F91"/>
          <w:sz w:val="28"/>
          <w:szCs w:val="28"/>
          <w:lang w:val="ro-RO"/>
        </w:rPr>
      </w:pPr>
      <w:r>
        <w:rPr>
          <w:lang w:val="ro-RO"/>
        </w:rPr>
        <w:br w:type="page"/>
      </w:r>
    </w:p>
    <w:p w:rsidR="00B50A36" w:rsidRPr="00F473EE" w:rsidRDefault="00B50A36" w:rsidP="00B12674">
      <w:pPr>
        <w:pStyle w:val="Heading1"/>
        <w:jc w:val="both"/>
        <w:rPr>
          <w:lang w:val="ro-RO"/>
        </w:rPr>
      </w:pPr>
      <w:bookmarkStart w:id="1" w:name="_Toc370211840"/>
      <w:r w:rsidRPr="00F473EE">
        <w:rPr>
          <w:lang w:val="ro-RO"/>
        </w:rPr>
        <w:lastRenderedPageBreak/>
        <w:t>Contextul elaborării strategiei pentru tineret (strategiile anterioare, cadrul politic, economic, social, tehnologic )</w:t>
      </w:r>
      <w:bookmarkEnd w:id="1"/>
      <w:r w:rsidRPr="00F473EE">
        <w:rPr>
          <w:lang w:val="ro-RO"/>
        </w:rPr>
        <w:t xml:space="preserve"> </w:t>
      </w:r>
    </w:p>
    <w:p w:rsidR="00B50A36" w:rsidRDefault="00B50A36" w:rsidP="00B12674">
      <w:pPr>
        <w:jc w:val="both"/>
        <w:rPr>
          <w:b/>
          <w:bCs/>
          <w:sz w:val="24"/>
          <w:szCs w:val="24"/>
          <w:lang w:val="ro-RO"/>
        </w:rPr>
      </w:pPr>
    </w:p>
    <w:p w:rsidR="00B50A36" w:rsidRDefault="00B50A36" w:rsidP="00B12674">
      <w:pPr>
        <w:pStyle w:val="Heading2"/>
        <w:jc w:val="both"/>
        <w:rPr>
          <w:rFonts w:cs="Times New Roman"/>
          <w:lang w:val="ro-RO"/>
        </w:rPr>
      </w:pPr>
      <w:bookmarkStart w:id="2" w:name="_Toc369818256"/>
      <w:bookmarkStart w:id="3" w:name="_Toc370211841"/>
      <w:r w:rsidRPr="00F473EE">
        <w:rPr>
          <w:lang w:val="ro-RO"/>
        </w:rPr>
        <w:t>Prima ”strategie” de tineret  - PNAT-R</w:t>
      </w:r>
      <w:bookmarkEnd w:id="2"/>
      <w:bookmarkEnd w:id="3"/>
    </w:p>
    <w:p w:rsidR="00B50A36" w:rsidRPr="005E4D47" w:rsidRDefault="00B50A36" w:rsidP="00B12674">
      <w:pPr>
        <w:jc w:val="both"/>
        <w:rPr>
          <w:lang w:val="ro-RO"/>
        </w:rPr>
      </w:pPr>
    </w:p>
    <w:p w:rsidR="00B50A36" w:rsidRPr="005E4D47" w:rsidRDefault="00B50A36" w:rsidP="00B12674">
      <w:pPr>
        <w:jc w:val="both"/>
        <w:rPr>
          <w:lang w:val="ro-RO"/>
        </w:rPr>
      </w:pPr>
      <w:r w:rsidRPr="005E4D47">
        <w:rPr>
          <w:lang w:val="ro-RO"/>
        </w:rPr>
        <w:t>Prima încercare de planificare strategică în domeniul tineretului a fost realizată în România la sfârşitul anului 2001. Documentul purtând</w:t>
      </w:r>
      <w:r w:rsidR="00335041">
        <w:rPr>
          <w:lang w:val="ro-RO"/>
        </w:rPr>
        <w:t xml:space="preserve"> </w:t>
      </w:r>
      <w:r w:rsidRPr="005E4D47">
        <w:rPr>
          <w:lang w:val="ro-RO"/>
        </w:rPr>
        <w:t>numele Plan Naţional de Acţiune pentru Tineret – România (PNAT-R) avea în vedere o listă de 8 obiective, dintre care primele</w:t>
      </w:r>
      <w:r w:rsidR="00335041">
        <w:rPr>
          <w:lang w:val="ro-RO"/>
        </w:rPr>
        <w:t xml:space="preserve"> </w:t>
      </w:r>
      <w:r w:rsidRPr="005E4D47">
        <w:rPr>
          <w:lang w:val="ro-RO"/>
        </w:rPr>
        <w:t>4</w:t>
      </w:r>
      <w:r w:rsidR="00335041">
        <w:rPr>
          <w:lang w:val="ro-RO"/>
        </w:rPr>
        <w:t xml:space="preserve"> </w:t>
      </w:r>
      <w:r w:rsidRPr="005E4D47">
        <w:rPr>
          <w:lang w:val="ro-RO"/>
        </w:rPr>
        <w:t>reunite sub titulatura</w:t>
      </w:r>
      <w:r w:rsidR="00335041">
        <w:rPr>
          <w:lang w:val="ro-RO"/>
        </w:rPr>
        <w:t xml:space="preserve"> </w:t>
      </w:r>
      <w:r w:rsidRPr="005E4D47">
        <w:rPr>
          <w:lang w:val="ro-RO"/>
        </w:rPr>
        <w:t>Participării</w:t>
      </w:r>
      <w:r w:rsidR="00335041">
        <w:rPr>
          <w:lang w:val="ro-RO"/>
        </w:rPr>
        <w:t xml:space="preserve"> </w:t>
      </w:r>
      <w:r w:rsidRPr="005E4D47">
        <w:rPr>
          <w:lang w:val="ro-RO"/>
        </w:rPr>
        <w:t>(economică, civică şi politică, culturală şi respectiv participare la educaţie),  la care se adăugau alte 4 privitoare la: reducerea factorilor de marginalizare şi excludere, stimularea creativităţii, promovarea mobilităţii în spaţiul european şi respectiv optimizarea cadrului instituţional.</w:t>
      </w:r>
    </w:p>
    <w:p w:rsidR="00B50A36" w:rsidRDefault="00B50A36" w:rsidP="00B12674">
      <w:pPr>
        <w:pStyle w:val="Heading2"/>
        <w:jc w:val="both"/>
        <w:rPr>
          <w:rFonts w:cs="Times New Roman"/>
          <w:lang w:val="ro-RO"/>
        </w:rPr>
      </w:pPr>
      <w:bookmarkStart w:id="4" w:name="_Toc369818257"/>
      <w:bookmarkStart w:id="5" w:name="_Toc370211842"/>
      <w:r w:rsidRPr="00F473EE">
        <w:rPr>
          <w:lang w:val="ro-RO"/>
        </w:rPr>
        <w:t>Strategii pe plan european</w:t>
      </w:r>
      <w:bookmarkEnd w:id="4"/>
      <w:bookmarkEnd w:id="5"/>
    </w:p>
    <w:p w:rsidR="00B50A36" w:rsidRPr="00BC0551" w:rsidRDefault="00B50A36" w:rsidP="00B12674">
      <w:pPr>
        <w:jc w:val="both"/>
        <w:rPr>
          <w:lang w:val="ro-RO"/>
        </w:rPr>
      </w:pPr>
    </w:p>
    <w:p w:rsidR="00B50A36" w:rsidRPr="00D41C0F" w:rsidRDefault="00B50A36" w:rsidP="00B12674">
      <w:pPr>
        <w:jc w:val="both"/>
        <w:rPr>
          <w:lang w:val="ro-RO"/>
        </w:rPr>
      </w:pPr>
      <w:r w:rsidRPr="00D41C0F">
        <w:rPr>
          <w:lang w:val="ro-RO"/>
        </w:rPr>
        <w:t>În Europa, preocupările pentru dezvoltarea şi coordonarea politicilor naţionale în domeniul tineretului  s-au accentuat mai ales în ultimii 10 -  15 ani.</w:t>
      </w:r>
    </w:p>
    <w:p w:rsidR="00B50A36" w:rsidRDefault="00B50A36" w:rsidP="00B12674">
      <w:pPr>
        <w:pStyle w:val="ListParagraph"/>
        <w:numPr>
          <w:ilvl w:val="0"/>
          <w:numId w:val="40"/>
        </w:numPr>
        <w:jc w:val="both"/>
        <w:rPr>
          <w:lang w:val="ro-RO"/>
        </w:rPr>
      </w:pPr>
      <w:r w:rsidRPr="00D41C0F">
        <w:rPr>
          <w:lang w:val="ro-RO"/>
        </w:rPr>
        <w:t>În 1997, Consiliul Europei a început procesul de monitorizare (expert review) a politicilor naţionale de tineret</w:t>
      </w:r>
      <w:r>
        <w:rPr>
          <w:lang w:val="ro-RO"/>
        </w:rPr>
        <w:t xml:space="preserve">. </w:t>
      </w:r>
      <w:r w:rsidRPr="000A768E">
        <w:rPr>
          <w:lang w:val="ro-RO"/>
        </w:rPr>
        <w:t>În 2001</w:t>
      </w:r>
      <w:r>
        <w:rPr>
          <w:lang w:val="ro-RO"/>
        </w:rPr>
        <w:t xml:space="preserve"> este publicată </w:t>
      </w:r>
      <w:r>
        <w:rPr>
          <w:b/>
          <w:bCs/>
          <w:lang w:val="ro-RO"/>
        </w:rPr>
        <w:t>Cartea Albă (White Paper) a Comisiei Europene</w:t>
      </w:r>
      <w:r>
        <w:rPr>
          <w:lang w:val="ro-RO"/>
        </w:rPr>
        <w:t xml:space="preserve">. Aceasta  urmărea, să asigure tinerilor posibilitatea de a îşi exprima punctele de vedere şi de a se simţi  luaţi în considerare în politicile  publice. Din această perspectivă, Cartea solicită ţărilor membre să acorde o importanţă sporită factorului tineret în cadrul  politicilor sectoriale cum ar fi </w:t>
      </w:r>
      <w:r>
        <w:rPr>
          <w:i/>
          <w:iCs/>
          <w:lang w:val="ro-RO"/>
        </w:rPr>
        <w:t>ocuparea forţei de muncă şi integrarea socială, educaţia, învăţarea pe tot parcursul vieţii, mobilitatea, lupta împotriva rasismului şi xenofobiei.</w:t>
      </w:r>
      <w:r>
        <w:rPr>
          <w:lang w:val="ro-RO"/>
        </w:rPr>
        <w:t xml:space="preserve"> Din această perspectivă, politica de tineret este concepută ca o politică transversală, coordonată cu numeroase alte politici publice sectoriale.  Pe de altă parte, Cartea pune bazele unui mecanism de coordonare între statele membre care să urmărească în principal următoarele direcţii: introducerea de noi modalităţi de participare a tinerilor la viaţa publică, îmbunătăţirea informării tinerilor cu privire la chestiunile europene, încurajarea voluntariatului şi ameliorarea gradului de cunoaştere (ştiinţifică) a chestiunilor legate de tineret.</w:t>
      </w:r>
    </w:p>
    <w:p w:rsidR="00B50A36" w:rsidRPr="00D41C0F" w:rsidRDefault="00B50A36" w:rsidP="00B12674">
      <w:pPr>
        <w:jc w:val="both"/>
        <w:rPr>
          <w:lang w:val="ro-RO"/>
        </w:rPr>
      </w:pPr>
      <w:r w:rsidRPr="00D41C0F">
        <w:rPr>
          <w:lang w:val="ro-RO"/>
        </w:rPr>
        <w:t xml:space="preserve">Aceste direcţii au reprezentat în continuare </w:t>
      </w:r>
      <w:r>
        <w:rPr>
          <w:lang w:val="ro-RO"/>
        </w:rPr>
        <w:t>structura</w:t>
      </w:r>
      <w:r w:rsidRPr="00D41C0F">
        <w:rPr>
          <w:lang w:val="ro-RO"/>
        </w:rPr>
        <w:t xml:space="preserve"> majorităţii strategiilor pentru tineret realizate de statele membre.</w:t>
      </w:r>
    </w:p>
    <w:p w:rsidR="00B50A36" w:rsidRDefault="00B50A36" w:rsidP="00B12674">
      <w:pPr>
        <w:pStyle w:val="ListParagraph"/>
        <w:numPr>
          <w:ilvl w:val="0"/>
          <w:numId w:val="40"/>
        </w:numPr>
        <w:jc w:val="both"/>
        <w:rPr>
          <w:lang w:val="ro-RO"/>
        </w:rPr>
      </w:pPr>
      <w:r w:rsidRPr="000A768E">
        <w:rPr>
          <w:lang w:val="ro-RO"/>
        </w:rPr>
        <w:t>În aprilie 2009, Comisia a prezentat un nou document de planificare intitulat “</w:t>
      </w:r>
      <w:r w:rsidRPr="00BA4B8D">
        <w:rPr>
          <w:b/>
          <w:bCs/>
          <w:lang w:val="ro-RO"/>
        </w:rPr>
        <w:t xml:space="preserve">O Strategie a UE pentru Tineret </w:t>
      </w:r>
      <w:r>
        <w:rPr>
          <w:b/>
          <w:bCs/>
          <w:lang w:val="ro-RO"/>
        </w:rPr>
        <w:t>–</w:t>
      </w:r>
      <w:r w:rsidRPr="00BA4B8D">
        <w:rPr>
          <w:b/>
          <w:bCs/>
          <w:lang w:val="ro-RO"/>
        </w:rPr>
        <w:t xml:space="preserve"> Investiţie şi Capacitare. O metodă deschisă de coordonare reînnoită pentru adresarea provocărilor şi oportunităţilor tinerilor</w:t>
      </w:r>
      <w:r w:rsidRPr="000A768E">
        <w:rPr>
          <w:lang w:val="ro-RO"/>
        </w:rPr>
        <w:t xml:space="preserve">”. Se propune o strategie pentru politicile viitoare </w:t>
      </w:r>
      <w:r w:rsidRPr="0015685A">
        <w:rPr>
          <w:lang w:val="ro-RO"/>
        </w:rPr>
        <w:t>în domeniul tineretului din Europa şi sunt invitate atât Statele Membre, cât şi Comisia să colaboreze în domeniul politicilor de tine</w:t>
      </w:r>
      <w:r w:rsidRPr="00B92A4B">
        <w:rPr>
          <w:lang w:val="ro-RO"/>
        </w:rPr>
        <w:t xml:space="preserve">ret în cadrul reînnoitei metode deschise de coordonare. Adoptând o abordare intersectorială, strategia europeană  urmăreşte să capaciteze </w:t>
      </w:r>
      <w:r w:rsidRPr="00B92A4B">
        <w:rPr>
          <w:lang w:val="ro-RO"/>
        </w:rPr>
        <w:lastRenderedPageBreak/>
        <w:t xml:space="preserve">tinerii în vederea confruntării cu un număr de provocări actuale. Pe baza unei largi consultări, au fost identificate </w:t>
      </w:r>
      <w:r>
        <w:rPr>
          <w:lang w:val="ro-RO"/>
        </w:rPr>
        <w:t>următoarele provocări ca fiind cele mai importante: educaţie, ocupare, incluziune socială şi sănătate.</w:t>
      </w:r>
    </w:p>
    <w:p w:rsidR="00B50A36" w:rsidRPr="00D41C0F" w:rsidRDefault="00B50A36" w:rsidP="00B12674">
      <w:pPr>
        <w:jc w:val="both"/>
        <w:rPr>
          <w:lang w:val="ro-RO"/>
        </w:rPr>
      </w:pPr>
      <w:r w:rsidRPr="00D41C0F">
        <w:rPr>
          <w:lang w:val="ro-RO"/>
        </w:rPr>
        <w:t xml:space="preserve">Viziunea Uniunii Europene asupra tineretului se bazează pe două abordări: </w:t>
      </w:r>
      <w:r>
        <w:rPr>
          <w:lang w:val="ro-RO"/>
        </w:rPr>
        <w:t>investiţi</w:t>
      </w:r>
      <w:r w:rsidRPr="00D41C0F">
        <w:rPr>
          <w:lang w:val="ro-RO"/>
        </w:rPr>
        <w:t>a în tineret, care înseamnă alocarea de resurse sporite pentru dezvoltarea unor domeniiale politicii de tineret care afectează tinerii în viaţa lor de zi cu zi, şi creșterea capacită</w:t>
      </w:r>
      <w:r>
        <w:rPr>
          <w:lang w:val="ro-RO"/>
        </w:rPr>
        <w:t>ţ</w:t>
      </w:r>
      <w:r w:rsidRPr="00D41C0F">
        <w:rPr>
          <w:lang w:val="ro-RO"/>
        </w:rPr>
        <w:t>ii  tinerilor, care se referă la promovarea potenţialului pe care tinerii îl au pentru reînnoirea societăţii şi contribuirea la valorile şi obiectivele Uniunii Europene, o atenţie specială urmând a fi acordată tinerilor cu mai puţine oportunităţi.</w:t>
      </w:r>
    </w:p>
    <w:p w:rsidR="00B50A36" w:rsidRPr="00F473EE" w:rsidRDefault="00B50A36" w:rsidP="00B12674">
      <w:pPr>
        <w:jc w:val="both"/>
        <w:rPr>
          <w:sz w:val="24"/>
          <w:szCs w:val="24"/>
          <w:lang w:val="ro-RO"/>
        </w:rPr>
      </w:pPr>
    </w:p>
    <w:p w:rsidR="00B50A36" w:rsidRPr="00F473EE" w:rsidRDefault="00B50A36" w:rsidP="00B12674">
      <w:pPr>
        <w:pStyle w:val="Heading2"/>
        <w:jc w:val="both"/>
        <w:rPr>
          <w:lang w:val="ro-RO"/>
        </w:rPr>
      </w:pPr>
      <w:bookmarkStart w:id="6" w:name="_Toc369818258"/>
      <w:bookmarkStart w:id="7" w:name="_Toc370211843"/>
      <w:r w:rsidRPr="00F473EE">
        <w:rPr>
          <w:lang w:val="ro-RO"/>
        </w:rPr>
        <w:t>Analiza contextului politic, economic, social și tehnologic</w:t>
      </w:r>
      <w:bookmarkEnd w:id="6"/>
      <w:bookmarkEnd w:id="7"/>
    </w:p>
    <w:p w:rsidR="00B50A36" w:rsidRDefault="00B50A36" w:rsidP="00B12674">
      <w:pPr>
        <w:pStyle w:val="Heading3"/>
        <w:jc w:val="both"/>
        <w:rPr>
          <w:rFonts w:cs="Times New Roman"/>
          <w:lang w:val="ro-RO"/>
        </w:rPr>
      </w:pPr>
      <w:bookmarkStart w:id="8" w:name="_Toc243570836"/>
      <w:bookmarkStart w:id="9" w:name="_Toc370211844"/>
      <w:r w:rsidRPr="00F473EE">
        <w:rPr>
          <w:lang w:val="ro-RO"/>
        </w:rPr>
        <w:t>Dimensiunea politică</w:t>
      </w:r>
      <w:bookmarkEnd w:id="8"/>
      <w:bookmarkEnd w:id="9"/>
    </w:p>
    <w:p w:rsidR="00B50A36" w:rsidRPr="005E4D47" w:rsidRDefault="00B50A36" w:rsidP="00B12674">
      <w:pPr>
        <w:jc w:val="both"/>
        <w:rPr>
          <w:lang w:val="ro-RO"/>
        </w:rPr>
      </w:pPr>
    </w:p>
    <w:p w:rsidR="00B50A36" w:rsidRPr="00D41C0F" w:rsidRDefault="00B50A36" w:rsidP="00B12674">
      <w:pPr>
        <w:jc w:val="both"/>
        <w:rPr>
          <w:lang w:val="ro-RO"/>
        </w:rPr>
      </w:pPr>
      <w:r w:rsidRPr="00D41C0F">
        <w:rPr>
          <w:lang w:val="ro-RO"/>
        </w:rPr>
        <w:t>Zona tineretului</w:t>
      </w:r>
      <w:r w:rsidR="00335041">
        <w:rPr>
          <w:lang w:val="ro-RO"/>
        </w:rPr>
        <w:t xml:space="preserve"> </w:t>
      </w:r>
      <w:r w:rsidRPr="00D41C0F">
        <w:rPr>
          <w:lang w:val="ro-RO"/>
        </w:rPr>
        <w:t>dispune de un set de acte normative importante, majoritatea adoptate în ultimii 10 ani</w:t>
      </w:r>
      <w:r>
        <w:rPr>
          <w:lang w:val="ro-RO"/>
        </w:rPr>
        <w:t xml:space="preserve">: </w:t>
      </w:r>
      <w:r w:rsidRPr="00D41C0F">
        <w:rPr>
          <w:lang w:val="ro-RO"/>
        </w:rPr>
        <w:t>Legea Sportului (legea 69/2000 actualizată în 2009</w:t>
      </w:r>
      <w:r w:rsidRPr="00D41C0F">
        <w:rPr>
          <w:rStyle w:val="st"/>
          <w:color w:val="222222"/>
          <w:lang w:val="ro-RO"/>
        </w:rPr>
        <w:t xml:space="preserve">), </w:t>
      </w:r>
      <w:r w:rsidRPr="00D41C0F">
        <w:rPr>
          <w:lang w:val="ro-RO"/>
        </w:rPr>
        <w:t>Legea voluntariatului (</w:t>
      </w:r>
      <w:r>
        <w:rPr>
          <w:lang w:val="ro-RO"/>
        </w:rPr>
        <w:t>L</w:t>
      </w:r>
      <w:r w:rsidRPr="00D41C0F">
        <w:rPr>
          <w:lang w:val="ro-RO"/>
        </w:rPr>
        <w:t>egea 95/2001), Legea privind sprijinul acordat de stat tinerilor din mediul rural (</w:t>
      </w:r>
      <w:r>
        <w:rPr>
          <w:lang w:val="ro-RO"/>
        </w:rPr>
        <w:t>L</w:t>
      </w:r>
      <w:r w:rsidRPr="00D41C0F">
        <w:rPr>
          <w:lang w:val="ro-RO"/>
        </w:rPr>
        <w:t>egea 646/2002), Legea privind prevenirea şi combaterea marginalizării (</w:t>
      </w:r>
      <w:r>
        <w:rPr>
          <w:lang w:val="ro-RO"/>
        </w:rPr>
        <w:t>L</w:t>
      </w:r>
      <w:r w:rsidRPr="00D41C0F">
        <w:rPr>
          <w:lang w:val="ro-RO"/>
        </w:rPr>
        <w:t>egea 646/2002), Legea privind sistemul asigurărilor de şomaj şi stimularea ocupării forţei de muncă (</w:t>
      </w:r>
      <w:r>
        <w:rPr>
          <w:lang w:val="ro-RO"/>
        </w:rPr>
        <w:t>L</w:t>
      </w:r>
      <w:r w:rsidRPr="00D41C0F">
        <w:rPr>
          <w:lang w:val="ro-RO"/>
        </w:rPr>
        <w:t xml:space="preserve">egea 76/2002), </w:t>
      </w:r>
      <w:r w:rsidRPr="00CB2378">
        <w:rPr>
          <w:shd w:val="clear" w:color="auto" w:fill="FFFFFF"/>
          <w:lang w:val="ro-RO"/>
        </w:rPr>
        <w:t>Legea nr. 146/2002 privind regimul juridic al fundaţiilor judeţene pentru tineret şi a municipiului Bucureşti şi al Fundaţiei Naţionale pentru Tineret</w:t>
      </w:r>
      <w:r>
        <w:rPr>
          <w:shd w:val="clear" w:color="auto" w:fill="FFFFFF"/>
          <w:lang w:val="ro-RO"/>
        </w:rPr>
        <w:t xml:space="preserve">, </w:t>
      </w:r>
      <w:r w:rsidRPr="00D41C0F">
        <w:rPr>
          <w:rStyle w:val="st"/>
          <w:color w:val="222222"/>
          <w:lang w:val="ro-RO"/>
        </w:rPr>
        <w:t xml:space="preserve">Legea  privind </w:t>
      </w:r>
      <w:r w:rsidRPr="00623158">
        <w:rPr>
          <w:rStyle w:val="Emphasis"/>
          <w:i w:val="0"/>
          <w:iCs w:val="0"/>
          <w:color w:val="222222"/>
          <w:lang w:val="ro-RO"/>
        </w:rPr>
        <w:t>ucenicia</w:t>
      </w:r>
      <w:r w:rsidRPr="00D41C0F">
        <w:rPr>
          <w:rStyle w:val="st"/>
          <w:color w:val="222222"/>
          <w:lang w:val="ro-RO"/>
        </w:rPr>
        <w:t xml:space="preserve"> la locul de munc</w:t>
      </w:r>
      <w:r>
        <w:rPr>
          <w:rStyle w:val="st"/>
          <w:color w:val="222222"/>
          <w:lang w:val="ro-RO"/>
        </w:rPr>
        <w:t>ă</w:t>
      </w:r>
      <w:r w:rsidRPr="00D41C0F">
        <w:rPr>
          <w:rStyle w:val="st"/>
          <w:color w:val="222222"/>
          <w:lang w:val="ro-RO"/>
        </w:rPr>
        <w:t xml:space="preserve"> (</w:t>
      </w:r>
      <w:r>
        <w:rPr>
          <w:rStyle w:val="st"/>
          <w:color w:val="222222"/>
          <w:lang w:val="ro-RO"/>
        </w:rPr>
        <w:t>L</w:t>
      </w:r>
      <w:r w:rsidRPr="00D41C0F">
        <w:rPr>
          <w:rStyle w:val="st"/>
          <w:color w:val="222222"/>
          <w:lang w:val="ro-RO"/>
        </w:rPr>
        <w:t xml:space="preserve">egea 279/2005, republicată în  </w:t>
      </w:r>
      <w:r w:rsidRPr="00623158">
        <w:rPr>
          <w:rStyle w:val="Emphasis"/>
          <w:i w:val="0"/>
          <w:iCs w:val="0"/>
          <w:color w:val="222222"/>
          <w:lang w:val="ro-RO"/>
        </w:rPr>
        <w:t>2012</w:t>
      </w:r>
      <w:r w:rsidRPr="00D41C0F">
        <w:rPr>
          <w:rStyle w:val="Emphasis"/>
          <w:color w:val="222222"/>
          <w:lang w:val="ro-RO"/>
        </w:rPr>
        <w:t>),</w:t>
      </w:r>
      <w:r w:rsidRPr="00D41C0F">
        <w:rPr>
          <w:lang w:val="ro-RO"/>
        </w:rPr>
        <w:t>Legea Tinerilor (</w:t>
      </w:r>
      <w:r>
        <w:rPr>
          <w:lang w:val="ro-RO"/>
        </w:rPr>
        <w:t>L</w:t>
      </w:r>
      <w:r w:rsidRPr="00D41C0F">
        <w:rPr>
          <w:lang w:val="ro-RO"/>
        </w:rPr>
        <w:t>egea 350/2006), Hotărârea Guvern</w:t>
      </w:r>
      <w:r>
        <w:rPr>
          <w:lang w:val="ro-RO"/>
        </w:rPr>
        <w:t>ului României</w:t>
      </w:r>
      <w:r w:rsidRPr="00D41C0F">
        <w:rPr>
          <w:lang w:val="ro-RO"/>
        </w:rPr>
        <w:t xml:space="preserve"> privind Strategia naţională de incluziune socială a tinerilor care părăsesc sistemul de protecţia a copilului (</w:t>
      </w:r>
      <w:r>
        <w:rPr>
          <w:lang w:val="ro-RO"/>
        </w:rPr>
        <w:t xml:space="preserve">HG </w:t>
      </w:r>
      <w:r w:rsidRPr="00D41C0F">
        <w:rPr>
          <w:lang w:val="ro-RO"/>
        </w:rPr>
        <w:t xml:space="preserve">669/2006), </w:t>
      </w:r>
      <w:r w:rsidRPr="00CB2378">
        <w:rPr>
          <w:shd w:val="clear" w:color="auto" w:fill="FFFFFF"/>
          <w:lang w:val="ro-RO"/>
        </w:rPr>
        <w:t xml:space="preserve">Legea nr. 333/2006 </w:t>
      </w:r>
      <w:r w:rsidRPr="003133BA">
        <w:rPr>
          <w:shd w:val="clear" w:color="auto" w:fill="FFFFFF"/>
          <w:lang w:val="ro-RO"/>
        </w:rPr>
        <w:t>–</w:t>
      </w:r>
      <w:r w:rsidRPr="00CB2378">
        <w:rPr>
          <w:shd w:val="clear" w:color="auto" w:fill="FFFFFF"/>
          <w:lang w:val="ro-RO"/>
        </w:rPr>
        <w:t xml:space="preserve"> privind înfiinţarea centrelor de informare şi consiliere pentru tineret</w:t>
      </w:r>
      <w:r>
        <w:rPr>
          <w:shd w:val="clear" w:color="auto" w:fill="FFFFFF"/>
          <w:lang w:val="ro-RO"/>
        </w:rPr>
        <w:t>,</w:t>
      </w:r>
      <w:r w:rsidRPr="00CB2378">
        <w:rPr>
          <w:shd w:val="clear" w:color="auto" w:fill="FFFFFF"/>
          <w:lang w:val="ro-RO"/>
        </w:rPr>
        <w:t xml:space="preserve">Legea nr. 351/2006 </w:t>
      </w:r>
      <w:r w:rsidRPr="003133BA">
        <w:rPr>
          <w:shd w:val="clear" w:color="auto" w:fill="FFFFFF"/>
          <w:lang w:val="ro-RO"/>
        </w:rPr>
        <w:t>–</w:t>
      </w:r>
      <w:r w:rsidRPr="00CB2378">
        <w:rPr>
          <w:shd w:val="clear" w:color="auto" w:fill="FFFFFF"/>
          <w:lang w:val="ro-RO"/>
        </w:rPr>
        <w:t xml:space="preserve"> privind înfiinţarea, organizarea şi funcţionarea Consiliului Naţional al Tineretului din România</w:t>
      </w:r>
      <w:r w:rsidRPr="00CB2378">
        <w:rPr>
          <w:lang w:val="ro-RO"/>
        </w:rPr>
        <w:t xml:space="preserve">, </w:t>
      </w:r>
      <w:r w:rsidRPr="00D41C0F">
        <w:rPr>
          <w:lang w:val="ro-RO"/>
        </w:rPr>
        <w:t>Legea stimulării încadrării elevilor şi studenţilor (</w:t>
      </w:r>
      <w:r>
        <w:rPr>
          <w:lang w:val="ro-RO"/>
        </w:rPr>
        <w:t>L</w:t>
      </w:r>
      <w:r w:rsidRPr="00D41C0F">
        <w:rPr>
          <w:lang w:val="ro-RO"/>
        </w:rPr>
        <w:t>egea 72/2007),  Noul Cod al Muncii(2011), Legea privind Noul Cod Civil (</w:t>
      </w:r>
      <w:r>
        <w:rPr>
          <w:lang w:val="ro-RO"/>
        </w:rPr>
        <w:t>L</w:t>
      </w:r>
      <w:r w:rsidRPr="00D41C0F">
        <w:rPr>
          <w:lang w:val="ro-RO"/>
        </w:rPr>
        <w:t>egea 287/2009</w:t>
      </w:r>
      <w:r>
        <w:rPr>
          <w:lang w:val="ro-RO"/>
        </w:rPr>
        <w:t>,</w:t>
      </w:r>
      <w:r w:rsidRPr="00D41C0F">
        <w:rPr>
          <w:lang w:val="ro-RO"/>
        </w:rPr>
        <w:t xml:space="preserve"> republicată în 2011), Legea Educaţiei Naţionale (Legea 1</w:t>
      </w:r>
      <w:r w:rsidRPr="00623158">
        <w:rPr>
          <w:lang w:val="ro-RO"/>
        </w:rPr>
        <w:t xml:space="preserve">/ </w:t>
      </w:r>
      <w:r w:rsidRPr="00D41C0F">
        <w:rPr>
          <w:lang w:val="ro-RO"/>
        </w:rPr>
        <w:t xml:space="preserve">2011). </w:t>
      </w:r>
    </w:p>
    <w:p w:rsidR="00B50A36" w:rsidRPr="009E660D" w:rsidRDefault="00B50A36" w:rsidP="00B12674">
      <w:pPr>
        <w:jc w:val="both"/>
        <w:rPr>
          <w:b/>
          <w:bCs/>
          <w:u w:val="single"/>
          <w:lang w:val="ro-RO"/>
        </w:rPr>
      </w:pPr>
      <w:r w:rsidRPr="009E660D">
        <w:rPr>
          <w:b/>
          <w:bCs/>
          <w:u w:val="single"/>
          <w:lang w:val="ro-RO"/>
        </w:rPr>
        <w:t>Programul de guvernare 2013-2016</w:t>
      </w:r>
    </w:p>
    <w:p w:rsidR="00B50A36" w:rsidRPr="00D41C0F" w:rsidRDefault="00B50A36" w:rsidP="00B12674">
      <w:pPr>
        <w:jc w:val="both"/>
        <w:rPr>
          <w:lang w:val="ro-RO"/>
        </w:rPr>
      </w:pPr>
      <w:r w:rsidRPr="00D41C0F">
        <w:rPr>
          <w:lang w:val="ro-RO"/>
        </w:rPr>
        <w:t xml:space="preserve">Programul de Guvernare constituie o bază de pornire în elaborarea strategiei pentru  tineret </w:t>
      </w:r>
      <w:r>
        <w:rPr>
          <w:lang w:val="ro-RO"/>
        </w:rPr>
        <w:t>a</w:t>
      </w:r>
      <w:r w:rsidRPr="00D41C0F">
        <w:rPr>
          <w:lang w:val="ro-RO"/>
        </w:rPr>
        <w:t>stfel:</w:t>
      </w:r>
    </w:p>
    <w:p w:rsidR="00B50A36" w:rsidRDefault="00B50A36" w:rsidP="00B12674">
      <w:pPr>
        <w:numPr>
          <w:ilvl w:val="0"/>
          <w:numId w:val="43"/>
        </w:numPr>
        <w:jc w:val="both"/>
        <w:rPr>
          <w:lang w:val="ro-RO"/>
        </w:rPr>
      </w:pPr>
      <w:r w:rsidRPr="00D41C0F">
        <w:rPr>
          <w:lang w:val="ro-RO"/>
        </w:rPr>
        <w:t xml:space="preserve">În domeniul </w:t>
      </w:r>
      <w:r w:rsidRPr="00D41C0F">
        <w:rPr>
          <w:b/>
          <w:bCs/>
          <w:lang w:val="ro-RO"/>
        </w:rPr>
        <w:t>agriculturii</w:t>
      </w:r>
      <w:r w:rsidRPr="00D41C0F">
        <w:rPr>
          <w:lang w:val="ro-RO"/>
        </w:rPr>
        <w:t xml:space="preserve"> se are în vedere identificarea de noi măsuri de susţinere a tinerilor fermieri.</w:t>
      </w:r>
    </w:p>
    <w:p w:rsidR="00B50A36" w:rsidRDefault="00B50A36" w:rsidP="00B12674">
      <w:pPr>
        <w:numPr>
          <w:ilvl w:val="0"/>
          <w:numId w:val="43"/>
        </w:numPr>
        <w:jc w:val="both"/>
        <w:rPr>
          <w:lang w:val="ro-RO"/>
        </w:rPr>
      </w:pPr>
      <w:r w:rsidRPr="00D41C0F">
        <w:rPr>
          <w:lang w:val="ro-RO"/>
        </w:rPr>
        <w:t xml:space="preserve">În domeniul </w:t>
      </w:r>
      <w:r w:rsidRPr="00D41C0F">
        <w:rPr>
          <w:b/>
          <w:bCs/>
          <w:lang w:val="ro-RO"/>
        </w:rPr>
        <w:t>educaţiei</w:t>
      </w:r>
      <w:r w:rsidRPr="00D41C0F">
        <w:rPr>
          <w:lang w:val="ro-RO"/>
        </w:rPr>
        <w:t xml:space="preserve"> se urmăreşte formarea iniţială a tinerilor, atragerea tinerilor români, plecaţi în străinătateîn universităţile din România, eliminarea oricăror restricţii sau discriminări în calea integrării tinerilor  în procesul educaţional, susţinerea tinerilor cercetători;</w:t>
      </w:r>
    </w:p>
    <w:p w:rsidR="00B50A36" w:rsidRPr="00D41C0F" w:rsidRDefault="00B50A36" w:rsidP="00B12674">
      <w:pPr>
        <w:numPr>
          <w:ilvl w:val="0"/>
          <w:numId w:val="43"/>
        </w:numPr>
        <w:jc w:val="both"/>
        <w:rPr>
          <w:lang w:val="ro-RO"/>
        </w:rPr>
      </w:pPr>
      <w:r w:rsidRPr="00D41C0F">
        <w:rPr>
          <w:lang w:val="ro-RO"/>
        </w:rPr>
        <w:t xml:space="preserve">În domeniul </w:t>
      </w:r>
      <w:r w:rsidRPr="00D41C0F">
        <w:rPr>
          <w:b/>
          <w:bCs/>
          <w:lang w:val="ro-RO"/>
        </w:rPr>
        <w:t>ocupării</w:t>
      </w:r>
      <w:r w:rsidRPr="00D41C0F">
        <w:rPr>
          <w:lang w:val="ro-RO"/>
        </w:rPr>
        <w:t xml:space="preserve"> se are în vedere:</w:t>
      </w:r>
    </w:p>
    <w:p w:rsidR="00B50A36" w:rsidRPr="00D41C0F" w:rsidRDefault="00B50A36" w:rsidP="00B12674">
      <w:pPr>
        <w:pStyle w:val="ColorfulList-Accent11"/>
        <w:numPr>
          <w:ilvl w:val="0"/>
          <w:numId w:val="1"/>
        </w:numPr>
        <w:jc w:val="both"/>
        <w:rPr>
          <w:lang w:val="ro-RO"/>
        </w:rPr>
      </w:pPr>
      <w:r w:rsidRPr="00D41C0F">
        <w:rPr>
          <w:lang w:val="ro-RO"/>
        </w:rPr>
        <w:lastRenderedPageBreak/>
        <w:t>Creşterea ratei de ocupare a forţei de muncă, cu focalizare pe anumite grupuri ţintă, printre care şi  tineri cu vârste între 15 şi 25 de ani; persoane cu handicap; persoane cu responsabilităţi familiale complexe; minorităţi etnice, inclusiv minoritatea rromă.</w:t>
      </w:r>
    </w:p>
    <w:p w:rsidR="00B50A36" w:rsidRPr="00D41C0F" w:rsidRDefault="00B50A36" w:rsidP="00B12674">
      <w:pPr>
        <w:pStyle w:val="ColorfulList-Accent11"/>
        <w:numPr>
          <w:ilvl w:val="0"/>
          <w:numId w:val="1"/>
        </w:numPr>
        <w:jc w:val="both"/>
        <w:rPr>
          <w:lang w:val="ro-RO"/>
        </w:rPr>
      </w:pPr>
      <w:r w:rsidRPr="00D41C0F">
        <w:rPr>
          <w:lang w:val="ro-RO"/>
        </w:rPr>
        <w:t>Promovarea unei legislaţii în favoarea tinerilor prin care să fie asigurate tranzitul coerent de la sistemul educaţional către piaţa forţei de muncă precum şi echilibrul între viaţa profesională şi cea personală prin creşterea accesului la servicii sociale pentru îngrijirea copiilor şi a persoanelor în situaţie de dependenţă.</w:t>
      </w:r>
    </w:p>
    <w:p w:rsidR="00B50A36" w:rsidRPr="00D41C0F" w:rsidRDefault="00B50A36" w:rsidP="00B12674">
      <w:pPr>
        <w:pStyle w:val="ColorfulList-Accent11"/>
        <w:numPr>
          <w:ilvl w:val="0"/>
          <w:numId w:val="1"/>
        </w:numPr>
        <w:jc w:val="both"/>
        <w:rPr>
          <w:lang w:val="ro-RO"/>
        </w:rPr>
      </w:pPr>
      <w:r w:rsidRPr="00D41C0F">
        <w:rPr>
          <w:lang w:val="ro-RO"/>
        </w:rPr>
        <w:t>Stimularea şi extinderea măsurilor de încurajare a angajării tinerilor pe piaţa muncii, în special a celor proveniţi din centrele de plasament şi a persoanelor cu handicap.</w:t>
      </w:r>
    </w:p>
    <w:p w:rsidR="00B50A36" w:rsidRPr="00D41C0F" w:rsidRDefault="00B50A36" w:rsidP="00B12674">
      <w:pPr>
        <w:pStyle w:val="ColorfulList-Accent11"/>
        <w:numPr>
          <w:ilvl w:val="0"/>
          <w:numId w:val="1"/>
        </w:numPr>
        <w:jc w:val="both"/>
        <w:rPr>
          <w:lang w:val="ro-RO"/>
        </w:rPr>
      </w:pPr>
      <w:r w:rsidRPr="00D41C0F">
        <w:rPr>
          <w:lang w:val="ro-RO"/>
        </w:rPr>
        <w:t xml:space="preserve">Facilităţi fiscale pentru crearea de locuri de muncă: </w:t>
      </w:r>
      <w:r>
        <w:rPr>
          <w:lang w:val="ro-RO"/>
        </w:rPr>
        <w:t>s</w:t>
      </w:r>
      <w:r w:rsidRPr="00D41C0F">
        <w:rPr>
          <w:lang w:val="ro-RO"/>
        </w:rPr>
        <w:t>cutirea (suportarea de la Bugetul de stat), pentru o perioadă de 1 an, a contribuţiilor sociale datorate de angajatori în cazul angajării cu contract de muncă pentru o durată cel puţin egală cu 2 ani, a tinerilor cu vârsta sub 25 de ani şi a persoanelor cu vârsta mai mare de 45 de ani;</w:t>
      </w:r>
    </w:p>
    <w:p w:rsidR="00B50A36" w:rsidRPr="00D41C0F" w:rsidRDefault="00B50A36" w:rsidP="00B12674">
      <w:pPr>
        <w:pStyle w:val="ColorfulList-Accent11"/>
        <w:numPr>
          <w:ilvl w:val="0"/>
          <w:numId w:val="1"/>
        </w:numPr>
        <w:jc w:val="both"/>
        <w:rPr>
          <w:lang w:val="ro-RO"/>
        </w:rPr>
      </w:pPr>
      <w:r w:rsidRPr="00D41C0F">
        <w:rPr>
          <w:lang w:val="ro-RO"/>
        </w:rPr>
        <w:t>Stimularea mobilităţii tinerilor prin subvenţii pentru chirie pentru cei care se mută in alt judeţ pentru primul loc de muncă.</w:t>
      </w:r>
    </w:p>
    <w:p w:rsidR="00B50A36" w:rsidRPr="00D41C0F" w:rsidRDefault="00B50A36" w:rsidP="00B12674">
      <w:pPr>
        <w:pStyle w:val="ColorfulList-Accent11"/>
        <w:numPr>
          <w:ilvl w:val="0"/>
          <w:numId w:val="1"/>
        </w:numPr>
        <w:jc w:val="both"/>
        <w:rPr>
          <w:lang w:val="ro-RO"/>
        </w:rPr>
      </w:pPr>
      <w:r>
        <w:rPr>
          <w:lang w:val="ro-RO"/>
        </w:rPr>
        <w:t>Î</w:t>
      </w:r>
      <w:r w:rsidRPr="00D41C0F">
        <w:rPr>
          <w:lang w:val="ro-RO"/>
        </w:rPr>
        <w:t>ncurajarea tinerilor rromi să intre pe piaţa albă de muncă, care prevede un stagiu plătit de stat, cursuri de specializare şi pregătire şi, la final, consiliere pentru plas</w:t>
      </w:r>
      <w:r>
        <w:rPr>
          <w:lang w:val="ro-RO"/>
        </w:rPr>
        <w:t>area</w:t>
      </w:r>
      <w:r w:rsidRPr="00D41C0F">
        <w:rPr>
          <w:lang w:val="ro-RO"/>
        </w:rPr>
        <w:t xml:space="preserve"> pe piaţa munc</w:t>
      </w:r>
      <w:r>
        <w:rPr>
          <w:lang w:val="ro-RO"/>
        </w:rPr>
        <w:t>ii</w:t>
      </w:r>
      <w:r w:rsidRPr="00D41C0F">
        <w:rPr>
          <w:lang w:val="ro-RO"/>
        </w:rPr>
        <w:t>.</w:t>
      </w:r>
    </w:p>
    <w:p w:rsidR="00B50A36" w:rsidRPr="00D41C0F" w:rsidRDefault="00B50A36" w:rsidP="00B12674">
      <w:pPr>
        <w:pStyle w:val="ColorfulList-Accent11"/>
        <w:numPr>
          <w:ilvl w:val="0"/>
          <w:numId w:val="1"/>
        </w:numPr>
        <w:jc w:val="both"/>
        <w:rPr>
          <w:lang w:val="ro-RO"/>
        </w:rPr>
      </w:pPr>
      <w:r w:rsidRPr="00D41C0F">
        <w:rPr>
          <w:lang w:val="ro-RO"/>
        </w:rPr>
        <w:t>Integrarea tinerilor pe piaţa muncii prin dezvoltarea de politici care să asigure un nivel ridicat de creştere şi de ocupare durabilă a forţei de muncă, bazate pe cunoaştere.</w:t>
      </w:r>
    </w:p>
    <w:p w:rsidR="00B50A36" w:rsidRPr="00D41C0F" w:rsidRDefault="00B50A36" w:rsidP="00B12674">
      <w:pPr>
        <w:jc w:val="both"/>
        <w:rPr>
          <w:lang w:val="ro-RO"/>
        </w:rPr>
      </w:pPr>
      <w:r>
        <w:rPr>
          <w:lang w:val="ro-RO"/>
        </w:rPr>
        <w:t xml:space="preserve">- </w:t>
      </w:r>
      <w:r w:rsidRPr="00D41C0F">
        <w:rPr>
          <w:lang w:val="ro-RO"/>
        </w:rPr>
        <w:t xml:space="preserve">În domeniul </w:t>
      </w:r>
      <w:r w:rsidRPr="00D41C0F">
        <w:rPr>
          <w:b/>
          <w:bCs/>
          <w:lang w:val="ro-RO"/>
        </w:rPr>
        <w:t>sportului</w:t>
      </w:r>
      <w:r w:rsidRPr="00D41C0F">
        <w:rPr>
          <w:lang w:val="ro-RO"/>
        </w:rPr>
        <w:t>:</w:t>
      </w:r>
    </w:p>
    <w:p w:rsidR="00B50A36" w:rsidRPr="00D41C0F" w:rsidRDefault="00B50A36" w:rsidP="00B12674">
      <w:pPr>
        <w:pStyle w:val="ColorfulList-Accent11"/>
        <w:numPr>
          <w:ilvl w:val="0"/>
          <w:numId w:val="2"/>
        </w:numPr>
        <w:jc w:val="both"/>
        <w:rPr>
          <w:lang w:val="ro-RO"/>
        </w:rPr>
      </w:pPr>
      <w:r w:rsidRPr="00D41C0F">
        <w:rPr>
          <w:lang w:val="ro-RO"/>
        </w:rPr>
        <w:t>Întărirea statutului orelor de educaţie fizică în şcoli prin îmbunătăţirea conţinutului şi a modalităţilor de predare, a controlului acestora şi a modernizării activităţii cluburilor sportive şcolare şi a liceelor cu program de educaţie fizică;</w:t>
      </w:r>
    </w:p>
    <w:p w:rsidR="00B50A36" w:rsidRPr="00D41C0F" w:rsidRDefault="00B50A36" w:rsidP="00B12674">
      <w:pPr>
        <w:pStyle w:val="ColorfulList-Accent11"/>
        <w:numPr>
          <w:ilvl w:val="0"/>
          <w:numId w:val="2"/>
        </w:numPr>
        <w:jc w:val="both"/>
        <w:rPr>
          <w:lang w:val="ro-RO"/>
        </w:rPr>
      </w:pPr>
      <w:r w:rsidRPr="00D41C0F">
        <w:rPr>
          <w:lang w:val="ro-RO"/>
        </w:rPr>
        <w:t>Implicarea României în organizarea unor competiţii sportive naţionale şi internaţionale;</w:t>
      </w:r>
    </w:p>
    <w:p w:rsidR="00B50A36" w:rsidRPr="008F23EB" w:rsidRDefault="00B50A36" w:rsidP="00B12674">
      <w:pPr>
        <w:pStyle w:val="ColorfulList-Accent11"/>
        <w:numPr>
          <w:ilvl w:val="0"/>
          <w:numId w:val="2"/>
        </w:numPr>
        <w:jc w:val="both"/>
        <w:rPr>
          <w:lang w:val="ro-RO"/>
        </w:rPr>
      </w:pPr>
      <w:r w:rsidRPr="00D41C0F">
        <w:rPr>
          <w:lang w:val="ro-RO"/>
        </w:rPr>
        <w:t>Organizarea de campionate şcolare şi universitare în cel puţin 10 ramuri de sport.</w:t>
      </w:r>
    </w:p>
    <w:p w:rsidR="00B50A36" w:rsidRDefault="00B50A36" w:rsidP="00B12674">
      <w:pPr>
        <w:jc w:val="both"/>
        <w:rPr>
          <w:lang w:val="ro-RO"/>
        </w:rPr>
      </w:pPr>
      <w:r w:rsidRPr="00D41C0F">
        <w:rPr>
          <w:lang w:val="ro-RO"/>
        </w:rPr>
        <w:t>Legea 215/2001 stabilește obliga</w:t>
      </w:r>
      <w:r>
        <w:rPr>
          <w:lang w:val="ro-RO"/>
        </w:rPr>
        <w:t>ţ</w:t>
      </w:r>
      <w:r w:rsidRPr="00D41C0F">
        <w:rPr>
          <w:lang w:val="ro-RO"/>
        </w:rPr>
        <w:t>ia consiliilor locale și a consiliilor jude</w:t>
      </w:r>
      <w:r>
        <w:rPr>
          <w:lang w:val="ro-RO"/>
        </w:rPr>
        <w:t>ţ</w:t>
      </w:r>
      <w:r w:rsidRPr="00D41C0F">
        <w:rPr>
          <w:lang w:val="ro-RO"/>
        </w:rPr>
        <w:t>ene de a crea cadrul necesar furnizării de servicii publice privind tineretul.</w:t>
      </w:r>
    </w:p>
    <w:p w:rsidR="00B50A36" w:rsidRPr="008F23EB" w:rsidRDefault="00B50A36" w:rsidP="00B12674">
      <w:pPr>
        <w:jc w:val="both"/>
        <w:rPr>
          <w:b/>
          <w:bCs/>
          <w:lang w:val="ro-RO"/>
        </w:rPr>
      </w:pPr>
    </w:p>
    <w:p w:rsidR="00B50A36" w:rsidRDefault="00B50A36" w:rsidP="00B12674">
      <w:pPr>
        <w:pStyle w:val="Heading3"/>
        <w:jc w:val="both"/>
        <w:rPr>
          <w:rFonts w:cs="Times New Roman"/>
          <w:lang w:val="ro-RO"/>
        </w:rPr>
      </w:pPr>
      <w:bookmarkStart w:id="10" w:name="_Toc243570837"/>
      <w:bookmarkStart w:id="11" w:name="_Toc370211845"/>
      <w:bookmarkStart w:id="12" w:name="_Toc243570838"/>
      <w:bookmarkStart w:id="13" w:name="_Toc243570839"/>
      <w:r w:rsidRPr="00D41C0F">
        <w:rPr>
          <w:lang w:val="ro-RO"/>
        </w:rPr>
        <w:t>Dimensiunea socială</w:t>
      </w:r>
      <w:bookmarkEnd w:id="10"/>
      <w:bookmarkEnd w:id="11"/>
    </w:p>
    <w:p w:rsidR="00B50A36" w:rsidRPr="005E4D47" w:rsidRDefault="00B50A36" w:rsidP="00B12674">
      <w:pPr>
        <w:jc w:val="both"/>
        <w:rPr>
          <w:lang w:val="ro-RO"/>
        </w:rPr>
      </w:pPr>
    </w:p>
    <w:p w:rsidR="00B50A36" w:rsidRDefault="00B50A36" w:rsidP="00B12674">
      <w:pPr>
        <w:jc w:val="both"/>
        <w:rPr>
          <w:lang w:val="ro-RO"/>
        </w:rPr>
      </w:pPr>
      <w:r w:rsidRPr="00784AB8">
        <w:rPr>
          <w:lang w:val="ro-RO"/>
        </w:rPr>
        <w:t xml:space="preserve">Din punct de vedere demografic, România se caracterizează prin reducerea drastică a natalităţii în ultimii 23 de ani. Aceasta a condus la dezechilibre majore în sistemele de educaţie, în piaţa muncii, în sistemul </w:t>
      </w:r>
      <w:r w:rsidRPr="00784AB8">
        <w:rPr>
          <w:lang w:val="ro-RO"/>
        </w:rPr>
        <w:lastRenderedPageBreak/>
        <w:t xml:space="preserve">de protecţie socială, ca şi în evoluţia structurii populaţiei României </w:t>
      </w:r>
      <w:r w:rsidRPr="00784AB8">
        <w:rPr>
          <w:i/>
          <w:iCs/>
          <w:lang w:val="ro-RO"/>
        </w:rPr>
        <w:t>(Raportul Comisiei Prezidenţiale pentru Analiza Riscurilor sociale şi Demografice</w:t>
      </w:r>
      <w:r w:rsidRPr="00784AB8">
        <w:rPr>
          <w:lang w:val="ro-RO"/>
        </w:rPr>
        <w:t>, 2009)</w:t>
      </w:r>
      <w:r>
        <w:rPr>
          <w:lang w:val="ro-RO"/>
        </w:rPr>
        <w:t>. Cu o populatie tânără tot mai redusă numeric şi proporţional, societatea românească are şi mai ales va întâmpina dificultăţi în ceea ce priveşte ad</w:t>
      </w:r>
      <w:r w:rsidRPr="0085324D" w:rsidDel="0085324D">
        <w:rPr>
          <w:lang w:val="ro-RO"/>
        </w:rPr>
        <w:t xml:space="preserve"> </w:t>
      </w:r>
      <w:r>
        <w:rPr>
          <w:lang w:val="ro-RO"/>
        </w:rPr>
        <w:t>aptarea la schimbare.</w:t>
      </w:r>
    </w:p>
    <w:p w:rsidR="00822FF7" w:rsidRDefault="00B50A36" w:rsidP="00B12674">
      <w:pPr>
        <w:jc w:val="both"/>
        <w:rPr>
          <w:lang w:val="ro-RO"/>
        </w:rPr>
      </w:pPr>
      <w:r>
        <w:rPr>
          <w:lang w:val="ro-RO"/>
        </w:rPr>
        <w:t>Cu o populaţie localizată într-o proporţie încă destul de ridicată în mediul rural (44,9%</w:t>
      </w:r>
      <w:r>
        <w:rPr>
          <w:rStyle w:val="FootnoteReference"/>
          <w:lang w:val="ro-RO"/>
        </w:rPr>
        <w:footnoteReference w:id="1"/>
      </w:r>
      <w:r>
        <w:rPr>
          <w:lang w:val="ro-RO"/>
        </w:rPr>
        <w:t xml:space="preserve">),  </w:t>
      </w:r>
      <w:r w:rsidDel="009579C0">
        <w:rPr>
          <w:lang w:val="ro-RO"/>
        </w:rPr>
        <w:t xml:space="preserve">Societatea </w:t>
      </w:r>
      <w:r>
        <w:rPr>
          <w:lang w:val="ro-RO"/>
        </w:rPr>
        <w:t>societatea românească se confruntă şi  cu decalaje</w:t>
      </w:r>
      <w:r w:rsidRPr="00784AB8">
        <w:rPr>
          <w:lang w:val="ro-RO"/>
        </w:rPr>
        <w:t xml:space="preserve"> între mediul urban și cel rural, la nivelul anului </w:t>
      </w:r>
      <w:r w:rsidRPr="005E4D47">
        <w:rPr>
          <w:lang w:val="ro-RO"/>
        </w:rPr>
        <w:t>2011</w:t>
      </w:r>
      <w:r w:rsidRPr="0085324D">
        <w:rPr>
          <w:color w:val="FF0000"/>
          <w:lang w:val="ro-RO"/>
        </w:rPr>
        <w:t xml:space="preserve"> </w:t>
      </w:r>
      <w:r w:rsidRPr="00784AB8">
        <w:rPr>
          <w:lang w:val="ro-RO"/>
        </w:rPr>
        <w:t xml:space="preserve">înregistrându-se o rată a sărăciei </w:t>
      </w:r>
      <w:r>
        <w:rPr>
          <w:lang w:val="ro-RO"/>
        </w:rPr>
        <w:t>absolute</w:t>
      </w:r>
      <w:r w:rsidRPr="00784AB8">
        <w:rPr>
          <w:lang w:val="ro-RO"/>
        </w:rPr>
        <w:t xml:space="preserve">de trei ori mai mare în mediul </w:t>
      </w:r>
      <w:r w:rsidRPr="00623158">
        <w:rPr>
          <w:lang w:val="ro-RO"/>
        </w:rPr>
        <w:t>rural comparativ cu cel urban</w:t>
      </w:r>
      <w:r>
        <w:rPr>
          <w:lang w:val="ro-RO"/>
        </w:rPr>
        <w:t xml:space="preserve"> (7,9% faţă de 2.6%)</w:t>
      </w:r>
      <w:r>
        <w:rPr>
          <w:rStyle w:val="FootnoteReference"/>
          <w:lang w:val="ro-RO"/>
        </w:rPr>
        <w:footnoteReference w:id="2"/>
      </w:r>
      <w:r w:rsidRPr="00623158">
        <w:rPr>
          <w:lang w:val="ro-RO"/>
        </w:rPr>
        <w:t>,</w:t>
      </w:r>
      <w:r w:rsidRPr="00784AB8">
        <w:rPr>
          <w:lang w:val="ro-RO"/>
        </w:rPr>
        <w:t xml:space="preserve"> în timp ce ponderea persoanelor cu studii superioare era de 23% în mediul urban fa</w:t>
      </w:r>
      <w:r>
        <w:rPr>
          <w:lang w:val="ro-RO"/>
        </w:rPr>
        <w:t>ţ</w:t>
      </w:r>
      <w:r w:rsidRPr="00784AB8">
        <w:rPr>
          <w:lang w:val="ro-RO"/>
        </w:rPr>
        <w:t>ă d</w:t>
      </w:r>
      <w:r>
        <w:rPr>
          <w:lang w:val="ro-RO"/>
        </w:rPr>
        <w:t>e</w:t>
      </w:r>
      <w:r w:rsidRPr="00784AB8">
        <w:rPr>
          <w:lang w:val="ro-RO"/>
        </w:rPr>
        <w:t xml:space="preserve"> numai 3% în mediul rural.</w:t>
      </w:r>
      <w:r w:rsidRPr="00784AB8">
        <w:rPr>
          <w:rStyle w:val="FootnoteReference"/>
          <w:lang w:val="ro-RO"/>
        </w:rPr>
        <w:footnoteReference w:id="3"/>
      </w:r>
    </w:p>
    <w:p w:rsidR="00B50A36" w:rsidRPr="00784AB8" w:rsidRDefault="00B50A36" w:rsidP="00B12674">
      <w:pPr>
        <w:jc w:val="both"/>
        <w:rPr>
          <w:lang w:val="ro-RO"/>
        </w:rPr>
      </w:pPr>
    </w:p>
    <w:p w:rsidR="00B50A36" w:rsidRDefault="00B50A36" w:rsidP="00B12674">
      <w:pPr>
        <w:pStyle w:val="Heading3"/>
        <w:jc w:val="both"/>
        <w:rPr>
          <w:rFonts w:cs="Times New Roman"/>
          <w:lang w:val="ro-RO"/>
        </w:rPr>
      </w:pPr>
      <w:bookmarkStart w:id="14" w:name="_Toc370211846"/>
      <w:r w:rsidRPr="00F473EE">
        <w:rPr>
          <w:lang w:val="ro-RO"/>
        </w:rPr>
        <w:t>Dimensiunea economică</w:t>
      </w:r>
      <w:bookmarkEnd w:id="12"/>
      <w:bookmarkEnd w:id="14"/>
    </w:p>
    <w:p w:rsidR="00B50A36" w:rsidRPr="008F23EB" w:rsidRDefault="00B50A36" w:rsidP="00B12674">
      <w:pPr>
        <w:jc w:val="both"/>
        <w:rPr>
          <w:lang w:val="ro-RO"/>
        </w:rPr>
      </w:pPr>
    </w:p>
    <w:p w:rsidR="00B50A36" w:rsidRDefault="00B50A36" w:rsidP="00B12674">
      <w:pPr>
        <w:jc w:val="both"/>
        <w:rPr>
          <w:lang w:val="ro-RO"/>
        </w:rPr>
      </w:pPr>
      <w:r w:rsidRPr="00D41C0F">
        <w:rPr>
          <w:lang w:val="ro-RO"/>
        </w:rPr>
        <w:t>Structura pe ramuri a economiei româneşti este dominată de industrie (din punctul de vedere al contribuţiei la PIB, acoperind cca</w:t>
      </w:r>
      <w:r>
        <w:rPr>
          <w:lang w:val="ro-RO"/>
        </w:rPr>
        <w:t>.</w:t>
      </w:r>
      <w:r w:rsidRPr="00D41C0F">
        <w:rPr>
          <w:lang w:val="ro-RO"/>
        </w:rPr>
        <w:t xml:space="preserve"> 30%) şi de agricultură (din punct de vedere al forţei de muncă ocupate (aproximativ 30%). Serviciile şi mai ales serviciile cu valoare adăugată mare (informaţii şi comunicaţii, finanţe şi asigurări, imobiliare, servicii profesionale şi administrative) sunt subreprezentate în ceea ce priveşte ocuparea forţei de muncă în comparaţie cu media UE-27 (doar 8% din totalul locurilor de muncă). Sectorul public este relativ redus ca mărime, reflectând capacitatea prezentă limitată a economiei de a genera venituri din impozite şi taxe şi de a susţine serviciile publice.</w:t>
      </w:r>
    </w:p>
    <w:p w:rsidR="00B50A36" w:rsidRPr="00D41C0F" w:rsidRDefault="00B50A36" w:rsidP="00B12674">
      <w:pPr>
        <w:jc w:val="both"/>
        <w:rPr>
          <w:lang w:val="ro-RO"/>
        </w:rPr>
      </w:pPr>
      <w:r>
        <w:rPr>
          <w:lang w:val="ro-RO"/>
        </w:rPr>
        <w:t>Deşi a înregistrat o rată de creştere de 5-6% pe an în perioada 2001-2008 (redusă apoi drastic în anii de criză care au urmat), România continuă să se afle cu mult în urma celor mai multe ţări europene din punctul de vedere al dezvoltării economice. PIB pe cap de locuitor după standardul puterii de cumpărare era aproape jumătate din media UE în 2012</w:t>
      </w:r>
      <w:r>
        <w:rPr>
          <w:rStyle w:val="FootnoteReference"/>
          <w:lang w:val="ro-RO"/>
        </w:rPr>
        <w:footnoteReference w:id="4"/>
      </w:r>
    </w:p>
    <w:p w:rsidR="00B50A36" w:rsidRDefault="00B50A36" w:rsidP="00B12674">
      <w:pPr>
        <w:pStyle w:val="Heading3"/>
        <w:jc w:val="both"/>
        <w:rPr>
          <w:rFonts w:cs="Times New Roman"/>
          <w:lang w:val="ro-RO"/>
        </w:rPr>
      </w:pPr>
      <w:bookmarkStart w:id="15" w:name="_Toc370211847"/>
      <w:r w:rsidRPr="00F473EE">
        <w:rPr>
          <w:lang w:val="ro-RO"/>
        </w:rPr>
        <w:t>Dimensiunea tehnologică</w:t>
      </w:r>
      <w:bookmarkEnd w:id="13"/>
      <w:bookmarkEnd w:id="15"/>
    </w:p>
    <w:p w:rsidR="00B50A36" w:rsidRPr="008F23EB" w:rsidDel="009C4241" w:rsidRDefault="00B50A36" w:rsidP="00B12674">
      <w:pPr>
        <w:jc w:val="both"/>
        <w:rPr>
          <w:lang w:val="ro-RO"/>
        </w:rPr>
      </w:pPr>
    </w:p>
    <w:p w:rsidR="00B50A36" w:rsidRPr="00D41C0F" w:rsidDel="009C4241" w:rsidRDefault="00B50A36" w:rsidP="00B12674">
      <w:pPr>
        <w:pStyle w:val="ColorfulList-Accent11"/>
        <w:ind w:left="0"/>
        <w:jc w:val="both"/>
        <w:rPr>
          <w:lang w:val="ro-RO"/>
        </w:rPr>
      </w:pPr>
      <w:r>
        <w:rPr>
          <w:lang w:val="ro-RO"/>
        </w:rPr>
        <w:t>Capacitatea tehnologică este redusă reflectându-se în calitatea scăzută a infrastructurii (de transport, TIC etc.) şi în nivelul de productivitate necompetitiv la nivel internaţional în multe domenii industriale</w:t>
      </w:r>
      <w:r>
        <w:rPr>
          <w:rStyle w:val="FootnoteReference"/>
          <w:lang w:val="ro-RO"/>
        </w:rPr>
        <w:footnoteReference w:id="5"/>
      </w:r>
      <w:r>
        <w:rPr>
          <w:lang w:val="ro-RO"/>
        </w:rPr>
        <w:t xml:space="preserve"> </w:t>
      </w:r>
    </w:p>
    <w:p w:rsidR="00822FF7" w:rsidRPr="0010334A" w:rsidRDefault="00822FF7" w:rsidP="00822FF7">
      <w:pPr>
        <w:pStyle w:val="Heading1"/>
        <w:spacing w:after="120"/>
        <w:rPr>
          <w:lang w:val="ro-RO"/>
        </w:rPr>
      </w:pPr>
      <w:bookmarkStart w:id="16" w:name="_Toc239222842"/>
      <w:bookmarkStart w:id="17" w:name="_Toc243570840"/>
      <w:bookmarkStart w:id="18" w:name="_Toc370211848"/>
      <w:r w:rsidRPr="0010334A">
        <w:rPr>
          <w:lang w:val="ro-RO"/>
        </w:rPr>
        <w:lastRenderedPageBreak/>
        <w:t>Situaţia tinerilor din România</w:t>
      </w:r>
      <w:bookmarkEnd w:id="16"/>
      <w:bookmarkEnd w:id="17"/>
      <w:bookmarkEnd w:id="18"/>
      <w:r w:rsidRPr="0010334A">
        <w:rPr>
          <w:lang w:val="ro-RO"/>
        </w:rPr>
        <w:t xml:space="preserve"> </w:t>
      </w:r>
    </w:p>
    <w:p w:rsidR="00822FF7" w:rsidRPr="0002274F" w:rsidRDefault="00822FF7" w:rsidP="00822FF7">
      <w:pPr>
        <w:pStyle w:val="Heading2"/>
        <w:spacing w:after="120"/>
        <w:rPr>
          <w:rFonts w:cs="Times New Roman"/>
          <w:lang w:val="ro-RO"/>
        </w:rPr>
      </w:pPr>
      <w:bookmarkStart w:id="19" w:name="_Toc239222843"/>
      <w:bookmarkStart w:id="20" w:name="_Toc243570841"/>
      <w:bookmarkStart w:id="21" w:name="_Toc370211849"/>
      <w:r w:rsidRPr="0002274F">
        <w:rPr>
          <w:lang w:val="ro-RO"/>
        </w:rPr>
        <w:t>Statutul de tânăr și grupurile-ţintă ale strategiei</w:t>
      </w:r>
      <w:bookmarkEnd w:id="19"/>
      <w:bookmarkEnd w:id="20"/>
      <w:bookmarkEnd w:id="21"/>
    </w:p>
    <w:p w:rsidR="00822FF7" w:rsidRPr="004D35EC" w:rsidRDefault="00822FF7" w:rsidP="00822FF7">
      <w:pPr>
        <w:spacing w:after="120"/>
        <w:jc w:val="both"/>
        <w:rPr>
          <w:rFonts w:asciiTheme="majorHAnsi" w:hAnsiTheme="majorHAnsi"/>
          <w:lang w:val="ro-RO"/>
        </w:rPr>
      </w:pPr>
    </w:p>
    <w:p w:rsidR="00822FF7" w:rsidRPr="004B0E74" w:rsidRDefault="00822FF7" w:rsidP="00822FF7">
      <w:pPr>
        <w:spacing w:after="120"/>
        <w:jc w:val="both"/>
        <w:rPr>
          <w:rFonts w:asciiTheme="majorHAnsi" w:hAnsiTheme="majorHAnsi"/>
        </w:rPr>
      </w:pPr>
      <w:r w:rsidRPr="004D35EC">
        <w:rPr>
          <w:rFonts w:asciiTheme="majorHAnsi" w:hAnsiTheme="majorHAnsi"/>
          <w:lang w:val="ro-RO"/>
        </w:rPr>
        <w:t xml:space="preserve">Strategia prezentă se referă per ansamblu la toţi tinerii, conform prevederilor legale, dar în funcţie de domeniul de analiză și intervenţie, precum și în funcţie de disponibilitatea datelor statistice pe diferite grupe de vârstă, </w:t>
      </w:r>
      <w:r>
        <w:rPr>
          <w:rFonts w:asciiTheme="majorHAnsi" w:hAnsiTheme="majorHAnsi"/>
          <w:lang w:val="ro-RO"/>
        </w:rPr>
        <w:t xml:space="preserve">în cadrul prezentei analize </w:t>
      </w:r>
      <w:r w:rsidRPr="004D35EC">
        <w:rPr>
          <w:rFonts w:asciiTheme="majorHAnsi" w:hAnsiTheme="majorHAnsi"/>
          <w:lang w:val="ro-RO"/>
        </w:rPr>
        <w:t xml:space="preserve">se fac diferenţieri de la capitol la capitol, luându-se în considerare priorităţi de acţiune și operându-se analize pentru anumite intervale de vârstă specifice. </w:t>
      </w:r>
    </w:p>
    <w:p w:rsidR="00822FF7" w:rsidRPr="004D35EC" w:rsidRDefault="00822FF7" w:rsidP="00822FF7">
      <w:pPr>
        <w:spacing w:after="120"/>
        <w:jc w:val="both"/>
        <w:rPr>
          <w:rFonts w:asciiTheme="majorHAnsi" w:hAnsiTheme="majorHAnsi"/>
          <w:lang w:val="ro-RO"/>
        </w:rPr>
      </w:pPr>
      <w:r w:rsidRPr="004D35EC">
        <w:rPr>
          <w:rFonts w:asciiTheme="majorHAnsi" w:hAnsiTheme="majorHAnsi"/>
          <w:lang w:val="ro-RO"/>
        </w:rPr>
        <w:t xml:space="preserve">Strategia abordează situaţia și politicile pentru tinerii de 14-35 de ani, </w:t>
      </w:r>
      <w:r>
        <w:rPr>
          <w:rFonts w:asciiTheme="majorHAnsi" w:hAnsiTheme="majorHAnsi"/>
          <w:lang w:val="ro-RO"/>
        </w:rPr>
        <w:t xml:space="preserve">aşa cum prevede </w:t>
      </w:r>
      <w:r w:rsidRPr="004D35EC">
        <w:rPr>
          <w:rFonts w:asciiTheme="majorHAnsi" w:hAnsiTheme="majorHAnsi"/>
          <w:lang w:val="ro-RO"/>
        </w:rPr>
        <w:t xml:space="preserve">Legea Tinerilor nr. 350 din 21/07/2006. </w:t>
      </w:r>
      <w:r>
        <w:rPr>
          <w:rFonts w:asciiTheme="majorHAnsi" w:hAnsiTheme="majorHAnsi"/>
          <w:lang w:val="ro-RO"/>
        </w:rPr>
        <w:t>A</w:t>
      </w:r>
      <w:r w:rsidRPr="004D35EC">
        <w:rPr>
          <w:rFonts w:asciiTheme="majorHAnsi" w:hAnsiTheme="majorHAnsi"/>
          <w:lang w:val="ro-RO"/>
        </w:rPr>
        <w:t xml:space="preserve">naliza </w:t>
      </w:r>
      <w:r>
        <w:rPr>
          <w:rFonts w:asciiTheme="majorHAnsi" w:hAnsiTheme="majorHAnsi"/>
          <w:lang w:val="ro-RO"/>
        </w:rPr>
        <w:t xml:space="preserve">este </w:t>
      </w:r>
      <w:r w:rsidRPr="004D35EC">
        <w:rPr>
          <w:rFonts w:asciiTheme="majorHAnsi" w:hAnsiTheme="majorHAnsi"/>
          <w:lang w:val="ro-RO"/>
        </w:rPr>
        <w:t xml:space="preserve">defalcată pe grupele de vârstă 14/15-19, 20-24, 25-29 și 30-34/35, cele mai multe date comparative cu alte ţări, importante pentru că pot ghida politicile de tineret în direcţia convergenţei la nivel european, fiind disponibile pentru aceste grupe de vârstă. Fiecare dintre domeniile majore de intervenţie are </w:t>
      </w:r>
      <w:r>
        <w:rPr>
          <w:rFonts w:asciiTheme="majorHAnsi" w:hAnsiTheme="majorHAnsi"/>
          <w:lang w:val="ro-RO"/>
        </w:rPr>
        <w:t xml:space="preserve">şi </w:t>
      </w:r>
      <w:r w:rsidRPr="004D35EC">
        <w:rPr>
          <w:rFonts w:asciiTheme="majorHAnsi" w:hAnsiTheme="majorHAnsi"/>
          <w:lang w:val="ro-RO"/>
        </w:rPr>
        <w:t xml:space="preserve">grupuri-ţintă de tineri </w:t>
      </w:r>
      <w:r>
        <w:rPr>
          <w:rFonts w:asciiTheme="majorHAnsi" w:hAnsiTheme="majorHAnsi"/>
          <w:lang w:val="ro-RO"/>
        </w:rPr>
        <w:t xml:space="preserve">cu </w:t>
      </w:r>
      <w:r w:rsidRPr="004D35EC">
        <w:rPr>
          <w:rFonts w:asciiTheme="majorHAnsi" w:hAnsiTheme="majorHAnsi"/>
          <w:lang w:val="ro-RO"/>
        </w:rPr>
        <w:t>caracteristic</w:t>
      </w:r>
      <w:r>
        <w:rPr>
          <w:rFonts w:asciiTheme="majorHAnsi" w:hAnsiTheme="majorHAnsi"/>
          <w:lang w:val="ro-RO"/>
        </w:rPr>
        <w:t>i speciale</w:t>
      </w:r>
      <w:r w:rsidRPr="004D35EC">
        <w:rPr>
          <w:rFonts w:asciiTheme="majorHAnsi" w:hAnsiTheme="majorHAnsi"/>
          <w:lang w:val="ro-RO"/>
        </w:rPr>
        <w:t>:</w:t>
      </w:r>
    </w:p>
    <w:p w:rsidR="00822FF7" w:rsidRPr="004D35EC" w:rsidRDefault="00822FF7" w:rsidP="00822FF7">
      <w:pPr>
        <w:pStyle w:val="ListParagraph"/>
        <w:numPr>
          <w:ilvl w:val="0"/>
          <w:numId w:val="41"/>
        </w:numPr>
        <w:spacing w:after="120" w:line="240" w:lineRule="auto"/>
        <w:contextualSpacing/>
        <w:jc w:val="both"/>
        <w:rPr>
          <w:rFonts w:asciiTheme="majorHAnsi" w:hAnsiTheme="majorHAnsi"/>
          <w:lang w:val="ro-RO"/>
        </w:rPr>
      </w:pPr>
      <w:r w:rsidRPr="004D35EC">
        <w:rPr>
          <w:rFonts w:asciiTheme="majorHAnsi" w:hAnsiTheme="majorHAnsi"/>
          <w:lang w:val="ro-RO"/>
        </w:rPr>
        <w:t xml:space="preserve">Pentru domeniul „Muncă și antreprenoriat”: tineri șomeri și șomeri de lungă durată, tineri prinși în forme de ocupare pe cont propriu de subzistenţă, </w:t>
      </w:r>
      <w:r w:rsidRPr="00CB2B65">
        <w:rPr>
          <w:rFonts w:eastAsia="Times New Roman"/>
          <w:lang w:val="ro-RO"/>
        </w:rPr>
        <w:t>tineri care nu sunt nici angajați, nici înscriși în sistemul de învățământ sau formare profesională (NEETs</w:t>
      </w:r>
      <w:r>
        <w:rPr>
          <w:rFonts w:eastAsia="Times New Roman"/>
          <w:lang w:val="ro-RO"/>
        </w:rPr>
        <w:t>)</w:t>
      </w:r>
      <w:r w:rsidRPr="004D35EC">
        <w:rPr>
          <w:rFonts w:asciiTheme="majorHAnsi" w:hAnsiTheme="majorHAnsi"/>
          <w:lang w:val="ro-RO"/>
        </w:rPr>
        <w:t>, tineri angajaţi involuntar în forme de angajare temporară și part-time, tinerii angajaţi cu venituri salariale mici și foarte mici, tinerii angajaţi în forme de ocupare informală, tinerii supracalificaţi sau subcalificaţi pentru locul de muncă și tinerii care lucrează în alte domenii decât cele pentru care s-au pregătit, tineri dornici să iniţieze o afacere dar fără resurse care să le permită acest lucru, angajatorii;</w:t>
      </w:r>
    </w:p>
    <w:p w:rsidR="00822FF7" w:rsidRPr="004D35EC" w:rsidRDefault="00822FF7" w:rsidP="00822FF7">
      <w:pPr>
        <w:pStyle w:val="ListParagraph"/>
        <w:numPr>
          <w:ilvl w:val="0"/>
          <w:numId w:val="41"/>
        </w:numPr>
        <w:spacing w:after="120" w:line="240" w:lineRule="auto"/>
        <w:contextualSpacing/>
        <w:jc w:val="both"/>
        <w:rPr>
          <w:rFonts w:asciiTheme="majorHAnsi" w:hAnsiTheme="majorHAnsi"/>
          <w:lang w:val="ro-RO"/>
        </w:rPr>
      </w:pPr>
      <w:r w:rsidRPr="004D35EC">
        <w:rPr>
          <w:rFonts w:asciiTheme="majorHAnsi" w:hAnsiTheme="majorHAnsi"/>
          <w:lang w:val="ro-RO"/>
        </w:rPr>
        <w:t>Pentru domeniul „Cultură şi Educaţie non-formală”: elevii și studenţii, tinerii care au abandonat școala de timpuriu, tineri</w:t>
      </w:r>
      <w:r>
        <w:rPr>
          <w:rFonts w:asciiTheme="majorHAnsi" w:hAnsiTheme="majorHAnsi"/>
          <w:lang w:val="ro-RO"/>
        </w:rPr>
        <w:t>i</w:t>
      </w:r>
      <w:r w:rsidRPr="004D35EC">
        <w:rPr>
          <w:rFonts w:asciiTheme="majorHAnsi" w:hAnsiTheme="majorHAnsi"/>
          <w:lang w:val="ro-RO"/>
        </w:rPr>
        <w:t xml:space="preserve"> absolvenţi ai unor forme de învăţământ generalist (gimnaziu, liceu) fără o calificare, tinerii cu probleme de acces la educaţie, </w:t>
      </w:r>
      <w:r>
        <w:rPr>
          <w:rFonts w:asciiTheme="majorHAnsi" w:hAnsiTheme="majorHAnsi"/>
          <w:lang w:val="ro-RO"/>
        </w:rPr>
        <w:t xml:space="preserve">NEETs, </w:t>
      </w:r>
      <w:r w:rsidRPr="004D35EC">
        <w:rPr>
          <w:rFonts w:asciiTheme="majorHAnsi" w:hAnsiTheme="majorHAnsi"/>
          <w:lang w:val="ro-RO"/>
        </w:rPr>
        <w:t>tinerii cu deficite educaţionale;</w:t>
      </w:r>
    </w:p>
    <w:p w:rsidR="00822FF7" w:rsidRPr="004D35EC" w:rsidRDefault="00822FF7" w:rsidP="00822FF7">
      <w:pPr>
        <w:pStyle w:val="ListParagraph"/>
        <w:numPr>
          <w:ilvl w:val="0"/>
          <w:numId w:val="41"/>
        </w:numPr>
        <w:spacing w:after="120" w:line="240" w:lineRule="auto"/>
        <w:contextualSpacing/>
        <w:jc w:val="both"/>
        <w:rPr>
          <w:rFonts w:asciiTheme="majorHAnsi" w:hAnsiTheme="majorHAnsi"/>
          <w:lang w:val="ro-RO"/>
        </w:rPr>
      </w:pPr>
      <w:r w:rsidRPr="004D35EC">
        <w:rPr>
          <w:rFonts w:asciiTheme="majorHAnsi" w:hAnsiTheme="majorHAnsi"/>
          <w:lang w:val="ro-RO"/>
        </w:rPr>
        <w:t xml:space="preserve">Pentru </w:t>
      </w:r>
      <w:r>
        <w:rPr>
          <w:rFonts w:asciiTheme="majorHAnsi" w:hAnsiTheme="majorHAnsi"/>
          <w:lang w:val="ro-RO"/>
        </w:rPr>
        <w:t>domeniul</w:t>
      </w:r>
      <w:r w:rsidRPr="004D35EC">
        <w:rPr>
          <w:rFonts w:asciiTheme="majorHAnsi" w:hAnsiTheme="majorHAnsi"/>
          <w:lang w:val="ro-RO"/>
        </w:rPr>
        <w:t xml:space="preserve"> „Sănătate, sport și recreere”: tineri consumatori de </w:t>
      </w:r>
      <w:r>
        <w:rPr>
          <w:rFonts w:asciiTheme="majorHAnsi" w:hAnsiTheme="majorHAnsi"/>
          <w:lang w:val="ro-RO"/>
        </w:rPr>
        <w:t>droguri şi/sau alcool;</w:t>
      </w:r>
      <w:r w:rsidRPr="004D35EC">
        <w:rPr>
          <w:rFonts w:asciiTheme="majorHAnsi" w:hAnsiTheme="majorHAnsi"/>
          <w:lang w:val="ro-RO"/>
        </w:rPr>
        <w:t xml:space="preserve"> tinerii cu obiceiuri de dietă nesănătoasă, tinerii cu dizabilităţi, tinerele mame de 15-19 ani, tinerii infectaţi cu HIV /SIDA, tinerii afectaţi de diferite boli psihice, tinerii cu un stil de viaţă care nu include activităţi sportive sau culturale.</w:t>
      </w:r>
    </w:p>
    <w:p w:rsidR="00822FF7" w:rsidRPr="004D35EC" w:rsidRDefault="00822FF7" w:rsidP="00822FF7">
      <w:pPr>
        <w:pStyle w:val="ListParagraph"/>
        <w:numPr>
          <w:ilvl w:val="0"/>
          <w:numId w:val="41"/>
        </w:numPr>
        <w:spacing w:after="120" w:line="240" w:lineRule="auto"/>
        <w:contextualSpacing/>
        <w:jc w:val="both"/>
        <w:rPr>
          <w:rFonts w:asciiTheme="majorHAnsi" w:hAnsiTheme="majorHAnsi"/>
          <w:lang w:val="ro-RO"/>
        </w:rPr>
      </w:pPr>
      <w:r w:rsidRPr="004D35EC">
        <w:rPr>
          <w:rFonts w:asciiTheme="majorHAnsi" w:hAnsiTheme="majorHAnsi"/>
          <w:lang w:val="ro-RO"/>
        </w:rPr>
        <w:t>Pentru domeniul „Participare și voluntariat”: tinerii implicaţi în sectorul ONG, tinerii voluntari și tinerii care au făcut cursuri în afara educaţiei formale cărora nu li se recunosc în preze</w:t>
      </w:r>
      <w:r>
        <w:rPr>
          <w:rFonts w:asciiTheme="majorHAnsi" w:hAnsiTheme="majorHAnsi"/>
          <w:lang w:val="ro-RO"/>
        </w:rPr>
        <w:t xml:space="preserve">nt competenţele dobândite, tinerii cu participare scăzută la viața asociatică, socială și politică </w:t>
      </w:r>
    </w:p>
    <w:p w:rsidR="00822FF7" w:rsidRDefault="00822FF7" w:rsidP="00822FF7">
      <w:pPr>
        <w:spacing w:after="120"/>
        <w:jc w:val="both"/>
        <w:rPr>
          <w:rFonts w:asciiTheme="majorHAnsi" w:hAnsiTheme="majorHAnsi"/>
          <w:lang w:val="ro-RO"/>
        </w:rPr>
      </w:pPr>
      <w:r>
        <w:rPr>
          <w:rFonts w:asciiTheme="majorHAnsi" w:hAnsiTheme="majorHAnsi"/>
          <w:lang w:val="ro-RO"/>
        </w:rPr>
        <w:t xml:space="preserve">Pentru a contribui la </w:t>
      </w:r>
      <w:r w:rsidRPr="004D35EC">
        <w:rPr>
          <w:rFonts w:asciiTheme="majorHAnsi" w:hAnsiTheme="majorHAnsi"/>
          <w:lang w:val="ro-RO"/>
        </w:rPr>
        <w:t>incluziun</w:t>
      </w:r>
      <w:r>
        <w:rPr>
          <w:rFonts w:asciiTheme="majorHAnsi" w:hAnsiTheme="majorHAnsi"/>
          <w:lang w:val="ro-RO"/>
        </w:rPr>
        <w:t>ea</w:t>
      </w:r>
      <w:r w:rsidRPr="004D35EC">
        <w:rPr>
          <w:rFonts w:asciiTheme="majorHAnsi" w:hAnsiTheme="majorHAnsi"/>
          <w:lang w:val="ro-RO"/>
        </w:rPr>
        <w:t xml:space="preserve"> social</w:t>
      </w:r>
      <w:r>
        <w:rPr>
          <w:rFonts w:asciiTheme="majorHAnsi" w:hAnsiTheme="majorHAnsi"/>
          <w:lang w:val="ro-RO"/>
        </w:rPr>
        <w:t>ă a tinerilor</w:t>
      </w:r>
      <w:r w:rsidRPr="004D35EC">
        <w:rPr>
          <w:rFonts w:asciiTheme="majorHAnsi" w:hAnsiTheme="majorHAnsi"/>
          <w:lang w:val="ro-RO"/>
        </w:rPr>
        <w:t xml:space="preserve">, </w:t>
      </w:r>
      <w:r>
        <w:rPr>
          <w:rFonts w:asciiTheme="majorHAnsi" w:hAnsiTheme="majorHAnsi"/>
          <w:lang w:val="ro-RO"/>
        </w:rPr>
        <w:t xml:space="preserve">pe lângă cele 4 domenii principale de intervenţie, </w:t>
      </w:r>
      <w:r w:rsidRPr="004D35EC">
        <w:rPr>
          <w:rFonts w:asciiTheme="majorHAnsi" w:hAnsiTheme="majorHAnsi"/>
          <w:lang w:val="ro-RO"/>
        </w:rPr>
        <w:t xml:space="preserve">Strategia </w:t>
      </w:r>
      <w:r>
        <w:rPr>
          <w:rFonts w:asciiTheme="majorHAnsi" w:hAnsiTheme="majorHAnsi"/>
          <w:lang w:val="ro-RO"/>
        </w:rPr>
        <w:t xml:space="preserve">conţine măsuri şi direcţii de acţiune cu aplicabilitate particulară </w:t>
      </w:r>
      <w:r w:rsidRPr="004D35EC">
        <w:rPr>
          <w:rFonts w:asciiTheme="majorHAnsi" w:hAnsiTheme="majorHAnsi"/>
          <w:lang w:val="ro-RO"/>
        </w:rPr>
        <w:t xml:space="preserve">la o serie de grupuri-ţintă, pentru care nu se poate acorda suport decât într-o manieră </w:t>
      </w:r>
      <w:r>
        <w:rPr>
          <w:rFonts w:asciiTheme="majorHAnsi" w:hAnsiTheme="majorHAnsi"/>
          <w:lang w:val="ro-RO"/>
        </w:rPr>
        <w:t>specifică</w:t>
      </w:r>
      <w:r w:rsidRPr="004D35EC">
        <w:rPr>
          <w:rFonts w:asciiTheme="majorHAnsi" w:hAnsiTheme="majorHAnsi"/>
          <w:lang w:val="ro-RO"/>
        </w:rPr>
        <w:t>, prin participarea tuturor factorilor de decizie pe domenii sectoriale ale politicii: tinerii ieșiti din instituţiile de plasament, tinerii străzii, tinerii fără acces la o locuinţă și fără perspectiva obţinerii uneia, tinerii Romi</w:t>
      </w:r>
      <w:r>
        <w:rPr>
          <w:rFonts w:asciiTheme="majorHAnsi" w:hAnsiTheme="majorHAnsi"/>
          <w:lang w:val="ro-RO"/>
        </w:rPr>
        <w:t xml:space="preserve">, tineri din zone compacte teritorial, tineri cu nevoi educaționale speciale, tineri victime ale exploatării, tineri cu HIV/SIDA și tineri victime ale discriminării. </w:t>
      </w:r>
    </w:p>
    <w:p w:rsidR="00822FF7" w:rsidRPr="004D35EC" w:rsidRDefault="00822FF7" w:rsidP="00822FF7">
      <w:pPr>
        <w:spacing w:after="120"/>
        <w:jc w:val="both"/>
        <w:rPr>
          <w:rFonts w:asciiTheme="majorHAnsi" w:hAnsiTheme="majorHAnsi"/>
          <w:lang w:val="ro-RO"/>
        </w:rPr>
      </w:pPr>
    </w:p>
    <w:p w:rsidR="00822FF7" w:rsidRDefault="00822FF7" w:rsidP="00822FF7">
      <w:pPr>
        <w:spacing w:after="120"/>
        <w:jc w:val="both"/>
        <w:rPr>
          <w:rFonts w:asciiTheme="majorHAnsi" w:hAnsiTheme="majorHAnsi"/>
          <w:lang w:val="ro-RO"/>
        </w:rPr>
      </w:pPr>
      <w:r w:rsidRPr="004D35EC">
        <w:rPr>
          <w:rFonts w:asciiTheme="majorHAnsi" w:hAnsiTheme="majorHAnsi"/>
          <w:lang w:val="ro-RO"/>
        </w:rPr>
        <w:lastRenderedPageBreak/>
        <w:t>În cazul tinerilor la risc, cercetările și practica europeană recomandă extinderea intervalului de vârstă în care o persoană trebuie să beneficieze de atenţie din partea structurilor de decizie publice, întrucât aceste persoane sunt lipsite adesea de alte forme de suport din partea familiei și a comunităţii, cu alte cuvinte ele trebuie monitorizate și asistate cu mijloace specifice încă din copilărie și dincolo de pragul la care în mod tradiţional sau conform prevederilor legii o persoană este considerată încă tânără.</w:t>
      </w:r>
    </w:p>
    <w:p w:rsidR="00822FF7" w:rsidRDefault="00822FF7" w:rsidP="00822FF7">
      <w:pPr>
        <w:spacing w:after="120"/>
        <w:jc w:val="both"/>
        <w:rPr>
          <w:rFonts w:asciiTheme="majorHAnsi" w:hAnsiTheme="majorHAnsi"/>
          <w:lang w:val="ro-RO"/>
        </w:rPr>
      </w:pPr>
      <w:r w:rsidRPr="004A3FB4">
        <w:rPr>
          <w:rFonts w:asciiTheme="majorHAnsi" w:hAnsiTheme="majorHAnsi"/>
          <w:lang w:val="ro-RO"/>
        </w:rPr>
        <w:t>Ca grupuri-ţintă pentru Strategie se constituie și anumite structuri formale implicate în munca de tineret și în politicile dedicate tinerilor, cum ar fi organizaţii neguvernamentale de şi pentru tineret sau ale căror obiective au ca grup ţintă şi tinerii, servicii publice, centrele/cluburile de tineret, casele de cultură ale studenţilor, lucrătorii de tineret etc.</w:t>
      </w:r>
    </w:p>
    <w:p w:rsidR="00822FF7" w:rsidRDefault="00822FF7" w:rsidP="00822FF7">
      <w:pPr>
        <w:spacing w:after="120"/>
        <w:jc w:val="both"/>
        <w:rPr>
          <w:rFonts w:asciiTheme="majorHAnsi" w:hAnsiTheme="majorHAnsi"/>
          <w:lang w:val="ro-RO"/>
        </w:rPr>
      </w:pPr>
    </w:p>
    <w:p w:rsidR="00822FF7" w:rsidRPr="004D35EC" w:rsidRDefault="00822FF7" w:rsidP="00822FF7">
      <w:pPr>
        <w:pStyle w:val="Heading2"/>
        <w:rPr>
          <w:sz w:val="22"/>
          <w:lang w:val="ro-RO"/>
        </w:rPr>
      </w:pPr>
      <w:bookmarkStart w:id="22" w:name="_Toc370211850"/>
      <w:r>
        <w:rPr>
          <w:lang w:val="ro-RO"/>
        </w:rPr>
        <w:t>Provocări şi rezultate aşteptate</w:t>
      </w:r>
      <w:bookmarkEnd w:id="22"/>
    </w:p>
    <w:p w:rsidR="00822FF7" w:rsidRDefault="00822FF7" w:rsidP="00822FF7">
      <w:pPr>
        <w:pStyle w:val="Heading2"/>
        <w:spacing w:after="120"/>
        <w:rPr>
          <w:rFonts w:ascii="Calibri" w:hAnsi="Calibri" w:cs="Calibri"/>
          <w:sz w:val="22"/>
          <w:szCs w:val="22"/>
          <w:lang w:val="ro-RO"/>
        </w:rPr>
      </w:pPr>
      <w:bookmarkStart w:id="23" w:name="_Toc239222844"/>
      <w:bookmarkStart w:id="24" w:name="_Toc243570842"/>
      <w:bookmarkStart w:id="25" w:name="_Toc370211851"/>
      <w:r w:rsidRPr="00D41C0F">
        <w:rPr>
          <w:rFonts w:ascii="Calibri" w:hAnsi="Calibri" w:cs="Calibri"/>
          <w:sz w:val="22"/>
          <w:szCs w:val="22"/>
          <w:lang w:val="ro-RO"/>
        </w:rPr>
        <w:t>Dinamica populaţiei de tineri</w:t>
      </w:r>
      <w:bookmarkEnd w:id="23"/>
      <w:bookmarkEnd w:id="24"/>
      <w:bookmarkEnd w:id="25"/>
    </w:p>
    <w:p w:rsidR="00822FF7" w:rsidRPr="004A3FB4" w:rsidRDefault="00822FF7" w:rsidP="00822FF7">
      <w:pPr>
        <w:spacing w:after="120"/>
        <w:jc w:val="both"/>
        <w:rPr>
          <w:rFonts w:asciiTheme="majorHAnsi" w:hAnsiTheme="majorHAnsi"/>
          <w:lang w:val="ro-RO"/>
        </w:rPr>
      </w:pPr>
      <w:r w:rsidRPr="004A3FB4">
        <w:rPr>
          <w:rFonts w:asciiTheme="majorHAnsi" w:hAnsiTheme="majorHAnsi"/>
          <w:lang w:val="ro-RO"/>
        </w:rPr>
        <w:t>În România trăiesc mai mult de 6 milioane de tineri între 15 și 34 de ani.</w:t>
      </w:r>
    </w:p>
    <w:p w:rsidR="00822FF7" w:rsidRPr="004A3FB4" w:rsidRDefault="00822FF7" w:rsidP="00822FF7">
      <w:pPr>
        <w:spacing w:after="120"/>
        <w:jc w:val="both"/>
        <w:rPr>
          <w:rFonts w:asciiTheme="majorHAnsi" w:hAnsiTheme="majorHAnsi"/>
          <w:lang w:val="ro-RO"/>
        </w:rPr>
      </w:pPr>
      <w:r w:rsidRPr="004A3FB4">
        <w:rPr>
          <w:rFonts w:asciiTheme="majorHAnsi" w:hAnsiTheme="majorHAnsi"/>
          <w:lang w:val="ro-RO"/>
        </w:rPr>
        <w:t>Se constată o  scădere continuă ca pondere în populaţie, de la 32,1% în 2003 la 28,6% în 2012, a tinerilor de 15-34 de ani</w:t>
      </w:r>
      <w:r w:rsidRPr="00335041">
        <w:rPr>
          <w:rFonts w:asciiTheme="majorHAnsi" w:hAnsiTheme="majorHAnsi"/>
          <w:sz w:val="20"/>
          <w:szCs w:val="20"/>
          <w:vertAlign w:val="superscript"/>
        </w:rPr>
        <w:footnoteReference w:id="6"/>
      </w:r>
      <w:r w:rsidRPr="00335041">
        <w:rPr>
          <w:rFonts w:asciiTheme="majorHAnsi" w:hAnsiTheme="majorHAnsi"/>
          <w:sz w:val="20"/>
          <w:szCs w:val="20"/>
          <w:vertAlign w:val="superscript"/>
          <w:lang w:val="ro-RO"/>
        </w:rPr>
        <w:t>,</w:t>
      </w:r>
      <w:r w:rsidRPr="004A3FB4">
        <w:rPr>
          <w:rFonts w:asciiTheme="majorHAnsi" w:hAnsiTheme="majorHAnsi"/>
          <w:lang w:val="ro-RO"/>
        </w:rPr>
        <w:t xml:space="preserve"> ca urmare a combinării între mai mulţi factori: creșterea speranţei de viaţă, scăderea natalităţii și emigrarea, ultimul fenomen implicând tinerii într-o proporţie mult mai ridicată decât alte grupe de vârstă</w:t>
      </w:r>
      <w:r>
        <w:rPr>
          <w:rStyle w:val="FootnoteReference"/>
          <w:rFonts w:asciiTheme="majorHAnsi" w:hAnsiTheme="majorHAnsi"/>
          <w:lang w:val="ro-RO"/>
        </w:rPr>
        <w:footnoteReference w:id="7"/>
      </w:r>
      <w:r w:rsidRPr="004A3FB4">
        <w:rPr>
          <w:rFonts w:asciiTheme="majorHAnsi" w:hAnsiTheme="majorHAnsi"/>
          <w:lang w:val="ro-RO"/>
        </w:rPr>
        <w:t>.</w:t>
      </w:r>
    </w:p>
    <w:p w:rsidR="00822FF7" w:rsidRPr="00CC2060" w:rsidRDefault="00822FF7" w:rsidP="00822FF7">
      <w:pPr>
        <w:jc w:val="both"/>
        <w:rPr>
          <w:lang w:val="ro-RO"/>
        </w:rPr>
      </w:pPr>
      <w:r w:rsidRPr="004A3FB4">
        <w:rPr>
          <w:rFonts w:asciiTheme="majorHAnsi" w:hAnsiTheme="majorHAnsi"/>
          <w:lang w:val="ro-RO"/>
        </w:rPr>
        <w:t>Deși ponderea populaţiei tinere în România este peste media UE-27, de 25,1% la nivelul aceluiași an 2012, scăderea din ultimii 10 ani este mai accentuată la noi în ţară. Proiecţiile E</w:t>
      </w:r>
      <w:r>
        <w:rPr>
          <w:rFonts w:asciiTheme="majorHAnsi" w:hAnsiTheme="majorHAnsi"/>
          <w:lang w:val="ro-RO"/>
        </w:rPr>
        <w:t>urostat</w:t>
      </w:r>
      <w:r w:rsidRPr="004A3FB4">
        <w:rPr>
          <w:rFonts w:asciiTheme="majorHAnsi" w:hAnsiTheme="majorHAnsi"/>
          <w:lang w:val="ro-RO"/>
        </w:rPr>
        <w:t xml:space="preserve"> arată că se așteaptă o descreștere abruptă până în 2060 a ponderii populaţiei tinere în populaţia totală, iar România este printre ţările afectate în mare măsură de acest trend, din 2015 România căzând sub media UE-27, diferenţa accentuându-se ulterior până în 2060.</w:t>
      </w:r>
      <w:r>
        <w:rPr>
          <w:rFonts w:asciiTheme="majorHAnsi" w:hAnsiTheme="majorHAnsi"/>
          <w:lang w:val="ro-RO"/>
        </w:rPr>
        <w:t xml:space="preserve"> </w:t>
      </w:r>
      <w:r w:rsidRPr="00DA37CC">
        <w:rPr>
          <w:rFonts w:asciiTheme="majorHAnsi" w:hAnsiTheme="majorHAnsi"/>
          <w:lang w:val="ro-RO"/>
        </w:rPr>
        <w:t>Rata de fertilitate în România se situa în 2011 la nivelul de 1,3, considerabil sub nivelul de 1,6 înregistrat în medie în UE-27.</w:t>
      </w:r>
      <w:r>
        <w:rPr>
          <w:lang w:val="ro-RO"/>
        </w:rPr>
        <w:t xml:space="preserve"> </w:t>
      </w:r>
    </w:p>
    <w:p w:rsidR="00822FF7" w:rsidRPr="00D41C0F" w:rsidRDefault="00822FF7" w:rsidP="00822FF7">
      <w:pPr>
        <w:pStyle w:val="Heading2"/>
        <w:spacing w:after="120"/>
        <w:rPr>
          <w:rFonts w:ascii="Calibri" w:hAnsi="Calibri" w:cs="Calibri"/>
          <w:sz w:val="22"/>
          <w:szCs w:val="22"/>
          <w:lang w:val="ro-RO"/>
        </w:rPr>
      </w:pPr>
      <w:bookmarkStart w:id="26" w:name="_Toc239222845"/>
      <w:bookmarkStart w:id="27" w:name="_Toc243570843"/>
      <w:bookmarkStart w:id="28" w:name="_Toc370211852"/>
      <w:r w:rsidRPr="00D41C0F">
        <w:rPr>
          <w:rFonts w:ascii="Calibri" w:hAnsi="Calibri" w:cs="Calibri"/>
          <w:sz w:val="22"/>
          <w:szCs w:val="22"/>
          <w:lang w:val="ro-RO"/>
        </w:rPr>
        <w:t>Sărăcie și forme de excluziune socială a tinerilor</w:t>
      </w:r>
      <w:bookmarkEnd w:id="26"/>
      <w:bookmarkEnd w:id="27"/>
      <w:bookmarkEnd w:id="28"/>
      <w:r w:rsidRPr="00D41C0F">
        <w:rPr>
          <w:rFonts w:ascii="Calibri" w:hAnsi="Calibri" w:cs="Calibri"/>
          <w:sz w:val="22"/>
          <w:szCs w:val="22"/>
          <w:lang w:val="ro-RO"/>
        </w:rPr>
        <w:t xml:space="preserve"> </w:t>
      </w:r>
    </w:p>
    <w:p w:rsidR="00822FF7" w:rsidRPr="00DA37CC" w:rsidRDefault="00822FF7" w:rsidP="00822FF7">
      <w:pPr>
        <w:spacing w:after="120"/>
        <w:jc w:val="both"/>
        <w:rPr>
          <w:rFonts w:asciiTheme="majorHAnsi" w:hAnsiTheme="majorHAnsi"/>
          <w:lang w:val="ro-RO"/>
        </w:rPr>
      </w:pPr>
      <w:r w:rsidRPr="00DA37CC">
        <w:rPr>
          <w:rFonts w:asciiTheme="majorHAnsi" w:hAnsiTheme="majorHAnsi"/>
          <w:lang w:val="ro-RO"/>
        </w:rPr>
        <w:t xml:space="preserve">Oricare ar fi metoda de estimare a sărăciei, copiii și tinerii au fost constant în ultimele decenii categoriile de vârstă cele mai expuse. </w:t>
      </w:r>
    </w:p>
    <w:p w:rsidR="00822FF7" w:rsidRDefault="00822FF7" w:rsidP="00822FF7">
      <w:pPr>
        <w:spacing w:after="120"/>
        <w:jc w:val="both"/>
        <w:rPr>
          <w:rFonts w:asciiTheme="majorHAnsi" w:hAnsiTheme="majorHAnsi"/>
          <w:lang w:val="ro-RO"/>
        </w:rPr>
      </w:pPr>
      <w:r w:rsidRPr="00DA37CC">
        <w:rPr>
          <w:rFonts w:asciiTheme="majorHAnsi" w:hAnsiTheme="majorHAnsi"/>
          <w:lang w:val="ro-RO"/>
        </w:rPr>
        <w:t>Mai mult de un sfert dintre tinerii între 18 și 24 de ani se află în sărăcie relativă</w:t>
      </w:r>
      <w:r w:rsidRPr="00DA37CC">
        <w:rPr>
          <w:rStyle w:val="FootnoteReference"/>
          <w:lang w:val="ro-RO"/>
        </w:rPr>
        <w:footnoteReference w:id="8"/>
      </w:r>
      <w:r w:rsidRPr="00DA37CC">
        <w:rPr>
          <w:rFonts w:asciiTheme="majorHAnsi" w:hAnsiTheme="majorHAnsi"/>
          <w:lang w:val="ro-RO"/>
        </w:rPr>
        <w:t xml:space="preserve"> (28,1% în anul 2011), ceea ce situează România între cele trei ţări cu situaţia cea mai gravă din UE-27. În același timp, nivelul este în creștere în ultimii ani. </w:t>
      </w:r>
    </w:p>
    <w:p w:rsidR="00822FF7" w:rsidRPr="00DA37CC" w:rsidRDefault="00822FF7" w:rsidP="00822FF7">
      <w:pPr>
        <w:spacing w:after="120"/>
        <w:jc w:val="both"/>
        <w:rPr>
          <w:rFonts w:asciiTheme="majorHAnsi" w:hAnsiTheme="majorHAnsi"/>
          <w:lang w:val="ro-RO"/>
        </w:rPr>
      </w:pPr>
      <w:r w:rsidRPr="00DA37CC">
        <w:rPr>
          <w:rFonts w:asciiTheme="majorHAnsi" w:hAnsiTheme="majorHAnsi"/>
          <w:lang w:val="ro-RO"/>
        </w:rPr>
        <w:lastRenderedPageBreak/>
        <w:t>Mai mult de o treime dintre tineri sunt în risc de sărăcie sau excluziune socială</w:t>
      </w:r>
      <w:r w:rsidRPr="00DA37CC">
        <w:rPr>
          <w:rStyle w:val="FootnoteReference"/>
          <w:lang w:val="ro-RO"/>
        </w:rPr>
        <w:footnoteReference w:id="9"/>
      </w:r>
      <w:r w:rsidRPr="00DA37CC">
        <w:rPr>
          <w:rFonts w:asciiTheme="majorHAnsi" w:hAnsiTheme="majorHAnsi"/>
          <w:lang w:val="ro-RO"/>
        </w:rPr>
        <w:t>, respectiv 40,3%, faţă de 24,3% în UE-28. Pe totalul populaţiei din România, riscul de sărăcie sau excluziune socială este considerabil mai scăzut, de 24,3%.</w:t>
      </w:r>
    </w:p>
    <w:p w:rsidR="00822FF7" w:rsidRDefault="00822FF7" w:rsidP="00822FF7">
      <w:pPr>
        <w:spacing w:after="120"/>
        <w:jc w:val="both"/>
        <w:rPr>
          <w:rFonts w:asciiTheme="majorHAnsi" w:hAnsiTheme="majorHAnsi"/>
          <w:lang w:val="ro-RO"/>
        </w:rPr>
      </w:pPr>
      <w:r w:rsidRPr="00317EEA">
        <w:rPr>
          <w:rFonts w:asciiTheme="majorHAnsi" w:hAnsiTheme="majorHAnsi"/>
          <w:lang w:val="ro-RO"/>
        </w:rPr>
        <w:t xml:space="preserve">În România, </w:t>
      </w:r>
      <w:r>
        <w:rPr>
          <w:rFonts w:asciiTheme="majorHAnsi" w:hAnsiTheme="majorHAnsi"/>
          <w:lang w:val="ro-RO"/>
        </w:rPr>
        <w:t>60</w:t>
      </w:r>
      <w:r w:rsidRPr="00317EEA">
        <w:rPr>
          <w:rFonts w:asciiTheme="majorHAnsi" w:hAnsiTheme="majorHAnsi"/>
          <w:lang w:val="ro-RO"/>
        </w:rPr>
        <w:t xml:space="preserve">% dintre </w:t>
      </w:r>
      <w:r>
        <w:rPr>
          <w:rFonts w:asciiTheme="majorHAnsi" w:hAnsiTheme="majorHAnsi"/>
          <w:lang w:val="ro-RO"/>
        </w:rPr>
        <w:t>tinerii între 18 și 34 de ani</w:t>
      </w:r>
      <w:r w:rsidRPr="00317EEA">
        <w:rPr>
          <w:rFonts w:asciiTheme="majorHAnsi" w:hAnsiTheme="majorHAnsi"/>
          <w:lang w:val="ro-RO"/>
        </w:rPr>
        <w:t xml:space="preserve"> locuiesc cu părinţii faţă de </w:t>
      </w:r>
      <w:r>
        <w:rPr>
          <w:rFonts w:asciiTheme="majorHAnsi" w:hAnsiTheme="majorHAnsi"/>
          <w:lang w:val="ro-RO"/>
        </w:rPr>
        <w:t>48,5</w:t>
      </w:r>
      <w:r w:rsidRPr="00317EEA">
        <w:rPr>
          <w:rFonts w:asciiTheme="majorHAnsi" w:hAnsiTheme="majorHAnsi"/>
          <w:lang w:val="ro-RO"/>
        </w:rPr>
        <w:t xml:space="preserve">% în </w:t>
      </w:r>
      <w:r>
        <w:rPr>
          <w:rFonts w:asciiTheme="majorHAnsi" w:hAnsiTheme="majorHAnsi"/>
          <w:lang w:val="ro-RO"/>
        </w:rPr>
        <w:t>UE</w:t>
      </w:r>
      <w:r w:rsidRPr="00317EEA">
        <w:rPr>
          <w:rFonts w:asciiTheme="majorHAnsi" w:hAnsiTheme="majorHAnsi"/>
          <w:lang w:val="ro-RO"/>
        </w:rPr>
        <w:t>-28</w:t>
      </w:r>
      <w:r>
        <w:rPr>
          <w:rStyle w:val="FootnoteReference"/>
          <w:rFonts w:asciiTheme="majorHAnsi" w:hAnsiTheme="majorHAnsi"/>
          <w:lang w:val="ro-RO"/>
        </w:rPr>
        <w:footnoteReference w:id="10"/>
      </w:r>
      <w:r w:rsidRPr="00317EEA">
        <w:rPr>
          <w:rFonts w:asciiTheme="majorHAnsi" w:hAnsiTheme="majorHAnsi"/>
          <w:lang w:val="ro-RO"/>
        </w:rPr>
        <w:t>. Se înregistrează cea mai ridicată pondere a populaţiei rezidente în locuinţe supra-aglomerate</w:t>
      </w:r>
      <w:r w:rsidRPr="00632F66">
        <w:rPr>
          <w:rStyle w:val="FootnoteReference"/>
          <w:lang w:val="ro-RO"/>
        </w:rPr>
        <w:footnoteReference w:id="11"/>
      </w:r>
      <w:r w:rsidRPr="00317EEA">
        <w:rPr>
          <w:rFonts w:asciiTheme="majorHAnsi" w:hAnsiTheme="majorHAnsi"/>
          <w:lang w:val="ro-RO"/>
        </w:rPr>
        <w:t xml:space="preserve"> din UE-27, cu excepţia Ungariei. Cu 2,9 persoane pe gospodărie în medie, România are cel mai ridicat număr de membri pe gospodărie din UE-28, la egalitate cu Bulgaria, Croaţia si Malta. Constrângerile pieţei muncii, tot mai dure pentru tineri și </w:t>
      </w:r>
      <w:r>
        <w:rPr>
          <w:rFonts w:asciiTheme="majorHAnsi" w:hAnsiTheme="majorHAnsi"/>
          <w:lang w:val="ro-RO"/>
        </w:rPr>
        <w:t>lipsa accesului la soluții de locuire independentă</w:t>
      </w:r>
      <w:r w:rsidRPr="00317EEA">
        <w:rPr>
          <w:rFonts w:asciiTheme="majorHAnsi" w:hAnsiTheme="majorHAnsi"/>
          <w:lang w:val="ro-RO"/>
        </w:rPr>
        <w:t xml:space="preserve"> sunt printre factorii care conduc la amânarea deciziilor importante din sfera vieţii de familie. Vârsta la prima căsătorie a crescut</w:t>
      </w:r>
      <w:r>
        <w:rPr>
          <w:rFonts w:asciiTheme="majorHAnsi" w:hAnsiTheme="majorHAnsi"/>
          <w:lang w:val="ro-RO"/>
        </w:rPr>
        <w:t xml:space="preserve"> între 1990 și 2010</w:t>
      </w:r>
      <w:r w:rsidRPr="00317EEA">
        <w:rPr>
          <w:rFonts w:asciiTheme="majorHAnsi" w:hAnsiTheme="majorHAnsi"/>
          <w:lang w:val="ro-RO"/>
        </w:rPr>
        <w:t xml:space="preserve"> , de la 22 la 26 de ani pentru femei și de la 25 la 29,1 ani pentru bărbaţi</w:t>
      </w:r>
      <w:r>
        <w:rPr>
          <w:rFonts w:asciiTheme="majorHAnsi" w:hAnsiTheme="majorHAnsi"/>
          <w:lang w:val="ro-RO"/>
        </w:rPr>
        <w:t xml:space="preserve">. </w:t>
      </w:r>
      <w:r w:rsidRPr="00317EEA">
        <w:rPr>
          <w:rFonts w:asciiTheme="majorHAnsi" w:hAnsiTheme="majorHAnsi"/>
          <w:lang w:val="ro-RO"/>
        </w:rPr>
        <w:t>Vârsta medie la prima naștere a crescut de asemenea considerabil</w:t>
      </w:r>
      <w:r>
        <w:rPr>
          <w:rFonts w:asciiTheme="majorHAnsi" w:hAnsiTheme="majorHAnsi"/>
          <w:lang w:val="ro-RO"/>
        </w:rPr>
        <w:t xml:space="preserve">, </w:t>
      </w:r>
      <w:r w:rsidRPr="00317EEA">
        <w:rPr>
          <w:rFonts w:asciiTheme="majorHAnsi" w:hAnsiTheme="majorHAnsi"/>
          <w:lang w:val="ro-RO"/>
        </w:rPr>
        <w:t xml:space="preserve">de la 22,4 ani la 26 de ani în </w:t>
      </w:r>
      <w:r>
        <w:rPr>
          <w:rFonts w:asciiTheme="majorHAnsi" w:hAnsiTheme="majorHAnsi"/>
          <w:lang w:val="ro-RO"/>
        </w:rPr>
        <w:t>același interval de timp</w:t>
      </w:r>
      <w:r w:rsidRPr="00317EEA">
        <w:rPr>
          <w:rStyle w:val="FootnoteReference"/>
          <w:lang w:val="ro-RO"/>
        </w:rPr>
        <w:footnoteReference w:id="12"/>
      </w:r>
      <w:r w:rsidRPr="00317EEA">
        <w:rPr>
          <w:rFonts w:asciiTheme="majorHAnsi" w:hAnsiTheme="majorHAnsi"/>
          <w:lang w:val="ro-RO"/>
        </w:rPr>
        <w:t xml:space="preserve">. Ca urmare a crizei economice, aproximativ 1 tânăr din 10 declară că a trebuit să renunţe la educaţie, să amâne decizia căsătoriei sau pe </w:t>
      </w:r>
      <w:r>
        <w:rPr>
          <w:rFonts w:asciiTheme="majorHAnsi" w:hAnsiTheme="majorHAnsi"/>
          <w:lang w:val="ro-RO"/>
        </w:rPr>
        <w:t>a</w:t>
      </w:r>
      <w:r w:rsidRPr="00317EEA">
        <w:rPr>
          <w:rFonts w:asciiTheme="majorHAnsi" w:hAnsiTheme="majorHAnsi"/>
          <w:lang w:val="ro-RO"/>
        </w:rPr>
        <w:t>ce</w:t>
      </w:r>
      <w:r>
        <w:rPr>
          <w:rFonts w:asciiTheme="majorHAnsi" w:hAnsiTheme="majorHAnsi"/>
          <w:lang w:val="ro-RO"/>
        </w:rPr>
        <w:t>e</w:t>
      </w:r>
      <w:r w:rsidRPr="00317EEA">
        <w:rPr>
          <w:rFonts w:asciiTheme="majorHAnsi" w:hAnsiTheme="majorHAnsi"/>
          <w:lang w:val="ro-RO"/>
        </w:rPr>
        <w:t>a de a avea un copil</w:t>
      </w:r>
      <w:r>
        <w:rPr>
          <w:rStyle w:val="FootnoteReference"/>
          <w:rFonts w:asciiTheme="majorHAnsi" w:hAnsiTheme="majorHAnsi"/>
          <w:lang w:val="ro-RO"/>
        </w:rPr>
        <w:footnoteReference w:id="13"/>
      </w:r>
      <w:r w:rsidRPr="00317EEA">
        <w:rPr>
          <w:rFonts w:asciiTheme="majorHAnsi" w:hAnsiTheme="majorHAnsi"/>
          <w:lang w:val="ro-RO"/>
        </w:rPr>
        <w:t>.</w:t>
      </w:r>
    </w:p>
    <w:p w:rsidR="00822FF7" w:rsidRPr="00B955FF" w:rsidRDefault="00822FF7" w:rsidP="00822FF7">
      <w:pPr>
        <w:spacing w:after="120"/>
        <w:jc w:val="both"/>
        <w:rPr>
          <w:rFonts w:asciiTheme="majorHAnsi" w:hAnsiTheme="majorHAnsi"/>
          <w:lang w:val="ro-RO"/>
        </w:rPr>
      </w:pPr>
      <w:r w:rsidRPr="00B955FF">
        <w:rPr>
          <w:rFonts w:asciiTheme="majorHAnsi" w:hAnsiTheme="majorHAnsi"/>
          <w:lang w:val="ro-RO"/>
        </w:rPr>
        <w:t>Parţial ca urmare a ponderii ridicate a populaţiei rezidente în mediul rural, 43,3% dintre tinerii în intervalul de vârstă 12-17 ani sunt deprivaţi sever în privinţa locuirii: locuiesc într-o locuinţă supraaglomerată și sunt afectaţi de cel puţin încă o problemă de locuire inadecvată (acoperișul este prost izolat, lipsește baia/ toaleta /dușul în locuinţă sau locuinţa este iluminată inadecvat). Nivelul deprivării severe de locuire din România este de peste 4 ori mai ridicat decât media europeană.</w:t>
      </w:r>
    </w:p>
    <w:p w:rsidR="00822FF7" w:rsidRDefault="00822FF7" w:rsidP="00822FF7">
      <w:pPr>
        <w:pStyle w:val="Heading2"/>
        <w:rPr>
          <w:rFonts w:eastAsiaTheme="minorHAnsi" w:cstheme="minorBidi"/>
          <w:b w:val="0"/>
          <w:bCs w:val="0"/>
          <w:color w:val="auto"/>
          <w:sz w:val="22"/>
          <w:szCs w:val="24"/>
          <w:lang w:val="ro-RO"/>
        </w:rPr>
      </w:pPr>
      <w:bookmarkStart w:id="29" w:name="_Toc239222846"/>
      <w:bookmarkStart w:id="30" w:name="_Toc243570844"/>
    </w:p>
    <w:p w:rsidR="00822FF7" w:rsidRPr="0002274F" w:rsidRDefault="00822FF7" w:rsidP="00822FF7">
      <w:pPr>
        <w:pStyle w:val="Heading2"/>
        <w:rPr>
          <w:lang w:val="ro-RO"/>
        </w:rPr>
      </w:pPr>
      <w:bookmarkStart w:id="31" w:name="_Toc370211853"/>
      <w:r w:rsidRPr="0002274F">
        <w:rPr>
          <w:lang w:val="ro-RO"/>
        </w:rPr>
        <w:t>Ocupare și antreprenoriat</w:t>
      </w:r>
      <w:bookmarkEnd w:id="29"/>
      <w:bookmarkEnd w:id="30"/>
      <w:bookmarkEnd w:id="31"/>
    </w:p>
    <w:p w:rsidR="00822FF7" w:rsidRPr="0002274F" w:rsidRDefault="00822FF7" w:rsidP="00822FF7">
      <w:pPr>
        <w:pStyle w:val="Heading3"/>
        <w:rPr>
          <w:lang w:val="ro-RO"/>
        </w:rPr>
      </w:pPr>
      <w:bookmarkStart w:id="32" w:name="_Toc239222847"/>
      <w:bookmarkStart w:id="33" w:name="_Toc243570845"/>
      <w:bookmarkStart w:id="34" w:name="_Toc370211854"/>
      <w:r w:rsidRPr="0002274F">
        <w:rPr>
          <w:lang w:val="ro-RO"/>
        </w:rPr>
        <w:t>Ocupare</w:t>
      </w:r>
      <w:bookmarkEnd w:id="32"/>
      <w:bookmarkEnd w:id="33"/>
      <w:bookmarkEnd w:id="34"/>
    </w:p>
    <w:p w:rsidR="00822FF7" w:rsidRPr="00D41C0F" w:rsidRDefault="00822FF7" w:rsidP="00822FF7">
      <w:pPr>
        <w:jc w:val="both"/>
        <w:rPr>
          <w:lang w:val="ro-RO"/>
        </w:rPr>
      </w:pPr>
    </w:p>
    <w:p w:rsidR="00822FF7" w:rsidRPr="00707A21" w:rsidRDefault="00822FF7" w:rsidP="00822FF7">
      <w:pPr>
        <w:spacing w:after="120"/>
        <w:jc w:val="both"/>
        <w:rPr>
          <w:rFonts w:asciiTheme="majorHAnsi" w:hAnsiTheme="majorHAnsi"/>
          <w:lang w:val="ro-RO"/>
        </w:rPr>
      </w:pPr>
      <w:r w:rsidRPr="00707A21">
        <w:rPr>
          <w:rFonts w:asciiTheme="majorHAnsi" w:hAnsiTheme="majorHAnsi"/>
          <w:lang w:val="ro-RO"/>
        </w:rPr>
        <w:t>Rata de ocupare</w:t>
      </w:r>
      <w:r w:rsidRPr="00FF6AB9">
        <w:rPr>
          <w:rStyle w:val="FootnoteReference"/>
          <w:lang w:val="ro-RO"/>
        </w:rPr>
        <w:footnoteReference w:id="14"/>
      </w:r>
      <w:r w:rsidRPr="00FF6AB9">
        <w:rPr>
          <w:lang w:val="ro-RO"/>
        </w:rPr>
        <w:t xml:space="preserve"> </w:t>
      </w:r>
      <w:r w:rsidRPr="00707A21">
        <w:rPr>
          <w:rFonts w:asciiTheme="majorHAnsi" w:hAnsiTheme="majorHAnsi"/>
          <w:lang w:val="ro-RO"/>
        </w:rPr>
        <w:t>a populaţiei în vârstă de 20-64 ani în România (63.8% în 2012) este mai mică decât media Uniunii Europene (68.5% în 2012), ţinta naţională  fiind de 70% până în anul 2020</w:t>
      </w:r>
      <w:r w:rsidRPr="00FF6AB9">
        <w:rPr>
          <w:rStyle w:val="FootnoteReference"/>
          <w:lang w:val="ro-RO"/>
        </w:rPr>
        <w:footnoteReference w:id="15"/>
      </w:r>
      <w:r>
        <w:rPr>
          <w:lang w:val="ro-RO"/>
        </w:rPr>
        <w:t xml:space="preserve">. </w:t>
      </w:r>
      <w:r w:rsidRPr="00707A21">
        <w:rPr>
          <w:rFonts w:asciiTheme="majorHAnsi" w:hAnsiTheme="majorHAnsi"/>
          <w:lang w:val="ro-RO"/>
        </w:rPr>
        <w:lastRenderedPageBreak/>
        <w:t xml:space="preserve">Pentru grupa de vârstă 30-34 de ani se înregistrează un nivel al ratei de ocupare apropiat de nivelul european (77,1% faţă de 77,5%), </w:t>
      </w:r>
      <w:r>
        <w:rPr>
          <w:rFonts w:asciiTheme="majorHAnsi" w:hAnsiTheme="majorHAnsi"/>
          <w:lang w:val="ro-RO"/>
        </w:rPr>
        <w:t xml:space="preserve">pentru </w:t>
      </w:r>
      <w:r w:rsidRPr="00707A21">
        <w:rPr>
          <w:rFonts w:asciiTheme="majorHAnsi" w:hAnsiTheme="majorHAnsi"/>
          <w:lang w:val="ro-RO"/>
        </w:rPr>
        <w:t>toate celelalte grupe de vârstă (15-19, 20-24, 25-29)</w:t>
      </w:r>
      <w:r>
        <w:rPr>
          <w:rFonts w:asciiTheme="majorHAnsi" w:hAnsiTheme="majorHAnsi"/>
          <w:lang w:val="ro-RO"/>
        </w:rPr>
        <w:t>, tinerii</w:t>
      </w:r>
      <w:r w:rsidRPr="00707A21">
        <w:rPr>
          <w:rFonts w:asciiTheme="majorHAnsi" w:hAnsiTheme="majorHAnsi"/>
          <w:lang w:val="ro-RO"/>
        </w:rPr>
        <w:t xml:space="preserve"> situându-se considerabil sub valorile UE-28: </w:t>
      </w:r>
    </w:p>
    <w:p w:rsidR="00822FF7" w:rsidRPr="00FF6AB9" w:rsidRDefault="00822FF7" w:rsidP="00822FF7">
      <w:pPr>
        <w:pStyle w:val="ColorfulList-Accent11"/>
        <w:numPr>
          <w:ilvl w:val="0"/>
          <w:numId w:val="18"/>
        </w:numPr>
        <w:spacing w:after="0"/>
        <w:ind w:left="357" w:hanging="357"/>
        <w:jc w:val="both"/>
        <w:rPr>
          <w:lang w:val="ro-RO"/>
        </w:rPr>
      </w:pPr>
      <w:r w:rsidRPr="00FF6AB9">
        <w:rPr>
          <w:lang w:val="ro-RO"/>
        </w:rPr>
        <w:t xml:space="preserve">cu 8,4% rata de ocupare, tinerii de 15-19 ani sunt aproximativ la jumătatea nivelului european; </w:t>
      </w:r>
    </w:p>
    <w:p w:rsidR="00822FF7" w:rsidRPr="00FF6AB9" w:rsidRDefault="00822FF7" w:rsidP="00822FF7">
      <w:pPr>
        <w:pStyle w:val="ColorfulList-Accent11"/>
        <w:numPr>
          <w:ilvl w:val="0"/>
          <w:numId w:val="18"/>
        </w:numPr>
        <w:spacing w:after="0"/>
        <w:ind w:left="357" w:hanging="357"/>
        <w:jc w:val="both"/>
        <w:rPr>
          <w:lang w:val="ro-RO"/>
        </w:rPr>
      </w:pPr>
      <w:r w:rsidRPr="00FF6AB9">
        <w:rPr>
          <w:lang w:val="ro-RO"/>
        </w:rPr>
        <w:t xml:space="preserve">doar ceva mai mult de 1 din 3 tineri români de 20-24 de ani sunt ocupaţi faţă de aproximativ jumătate dintre tinerii europeni; </w:t>
      </w:r>
    </w:p>
    <w:p w:rsidR="00822FF7" w:rsidRPr="00F90914" w:rsidRDefault="00822FF7" w:rsidP="00822FF7">
      <w:pPr>
        <w:pStyle w:val="ColorfulList-Accent11"/>
        <w:numPr>
          <w:ilvl w:val="0"/>
          <w:numId w:val="18"/>
        </w:numPr>
        <w:spacing w:after="120"/>
        <w:ind w:left="357" w:hanging="357"/>
        <w:jc w:val="both"/>
        <w:rPr>
          <w:lang w:val="ro-RO"/>
        </w:rPr>
      </w:pPr>
      <w:r w:rsidRPr="00FF6AB9">
        <w:rPr>
          <w:lang w:val="ro-RO"/>
        </w:rPr>
        <w:t>67,5% dintre tinerii români de 25-29 de ani sunt ocupaţi faţă de 72,1% dintre tinerii europeni</w:t>
      </w:r>
      <w:r>
        <w:rPr>
          <w:lang w:val="ro-RO"/>
        </w:rPr>
        <w:t>.</w:t>
      </w:r>
    </w:p>
    <w:p w:rsidR="00822FF7" w:rsidRPr="00F90914" w:rsidRDefault="00822FF7" w:rsidP="00822FF7">
      <w:pPr>
        <w:spacing w:after="120"/>
        <w:jc w:val="both"/>
        <w:rPr>
          <w:rFonts w:asciiTheme="majorHAnsi" w:hAnsiTheme="majorHAnsi"/>
          <w:lang w:val="ro-RO"/>
        </w:rPr>
      </w:pPr>
      <w:r w:rsidRPr="00F90914">
        <w:rPr>
          <w:rFonts w:asciiTheme="majorHAnsi" w:hAnsiTheme="majorHAnsi"/>
          <w:lang w:val="ro-RO"/>
        </w:rPr>
        <w:t xml:space="preserve">La nivel regional apar discrepanţe importante, astfel, cele mai reduse rate de ocupare pentru tinerii de 15-24 de ani se înregistrează în Regiunile Vest (27.9%) şi Nord‐Vest (27.6%), în timp ce există și regiuni cu o situaţie semnificativ mai bună, Nord‐Est (36.4%) şi Sud‐Muntenia (34.5%). </w:t>
      </w:r>
    </w:p>
    <w:p w:rsidR="00822FF7" w:rsidRDefault="00822FF7" w:rsidP="00822FF7">
      <w:pPr>
        <w:spacing w:after="120"/>
        <w:jc w:val="both"/>
        <w:rPr>
          <w:rFonts w:asciiTheme="majorHAnsi" w:hAnsiTheme="majorHAnsi"/>
          <w:lang w:val="ro-RO"/>
        </w:rPr>
      </w:pPr>
      <w:r w:rsidRPr="00FA4986">
        <w:rPr>
          <w:rFonts w:asciiTheme="majorHAnsi" w:hAnsiTheme="majorHAnsi"/>
          <w:lang w:val="ro-RO"/>
        </w:rPr>
        <w:t xml:space="preserve">Tinerii din România au acces mai târziu și în măsură mai mică la piaţa muncii, iar veniturile obţinute sunt mai scăzute. Astfel, România are cel mai ridicat nivel de sărăcie a tinerilor între 18-24 care lucrează: 30,7% dintre aceștia </w:t>
      </w:r>
      <w:r>
        <w:rPr>
          <w:rFonts w:asciiTheme="majorHAnsi" w:hAnsiTheme="majorHAnsi"/>
          <w:lang w:val="ro-RO"/>
        </w:rPr>
        <w:t>erau</w:t>
      </w:r>
      <w:r w:rsidRPr="00FA4986">
        <w:rPr>
          <w:rFonts w:asciiTheme="majorHAnsi" w:hAnsiTheme="majorHAnsi"/>
          <w:lang w:val="ro-RO"/>
        </w:rPr>
        <w:t xml:space="preserve"> săraci în 2011 (pe ansamblul populaţiei angajate nivelul este de 19%) deși au un loc de muncă în timp ce în UE-28 valoarea este de 11,2%. Sărăcia salarială a tinerilor capătă un aspect și mai îngrijorător dacă luăm în calcul faptul că este în creș</w:t>
      </w:r>
      <w:r>
        <w:rPr>
          <w:rFonts w:asciiTheme="majorHAnsi" w:hAnsiTheme="majorHAnsi"/>
          <w:lang w:val="ro-RO"/>
        </w:rPr>
        <w:t>tere</w:t>
      </w:r>
      <w:r w:rsidRPr="00FA4986">
        <w:rPr>
          <w:rFonts w:asciiTheme="majorHAnsi" w:hAnsiTheme="majorHAnsi"/>
          <w:lang w:val="ro-RO"/>
        </w:rPr>
        <w:t>: în 2008, la începutul crizei economice, 23,1% dintre tinerii angajaţi erau săraci.</w:t>
      </w:r>
    </w:p>
    <w:p w:rsidR="00822FF7" w:rsidRPr="00E56550" w:rsidRDefault="00822FF7" w:rsidP="00822FF7">
      <w:pPr>
        <w:spacing w:after="120"/>
        <w:jc w:val="both"/>
        <w:rPr>
          <w:rFonts w:asciiTheme="majorHAnsi" w:hAnsiTheme="majorHAnsi"/>
          <w:lang w:val="ro-RO"/>
        </w:rPr>
      </w:pPr>
      <w:r w:rsidRPr="00E56550">
        <w:rPr>
          <w:rFonts w:asciiTheme="majorHAnsi" w:hAnsiTheme="majorHAnsi"/>
          <w:lang w:val="ro-RO"/>
        </w:rPr>
        <w:t xml:space="preserve">Tinerii români se confruntă cu o piaţă a muncii rigidă, fără forme flexibile de angajare disponibile, care să permită continuarea studiilor în paralel cu angajarea. Doar 17,3% din tinerii angajaţi din România între 15 și 24 de ani lucrau în 2010 cu program de lucru parţial faţă de 28,9% în UE-28. Aproape </w:t>
      </w:r>
      <w:r>
        <w:rPr>
          <w:rFonts w:asciiTheme="majorHAnsi" w:hAnsiTheme="majorHAnsi"/>
          <w:lang w:val="ro-RO"/>
        </w:rPr>
        <w:t>trei sferturi</w:t>
      </w:r>
      <w:r w:rsidRPr="00E56550">
        <w:rPr>
          <w:rFonts w:asciiTheme="majorHAnsi" w:hAnsiTheme="majorHAnsi"/>
          <w:lang w:val="ro-RO"/>
        </w:rPr>
        <w:t xml:space="preserve"> erau încadraţi astfel involuntar spre deosebire de situaţia la nivel</w:t>
      </w:r>
      <w:r>
        <w:rPr>
          <w:rFonts w:asciiTheme="majorHAnsi" w:hAnsiTheme="majorHAnsi"/>
          <w:lang w:val="ro-RO"/>
        </w:rPr>
        <w:t xml:space="preserve"> european, unde aproximativ acee</w:t>
      </w:r>
      <w:r w:rsidRPr="00E56550">
        <w:rPr>
          <w:rFonts w:asciiTheme="majorHAnsi" w:hAnsiTheme="majorHAnsi"/>
          <w:lang w:val="ro-RO"/>
        </w:rPr>
        <w:t xml:space="preserve">ași </w:t>
      </w:r>
      <w:r>
        <w:rPr>
          <w:rFonts w:asciiTheme="majorHAnsi" w:hAnsiTheme="majorHAnsi"/>
          <w:lang w:val="ro-RO"/>
        </w:rPr>
        <w:t>proporție a tinerilor</w:t>
      </w:r>
      <w:r w:rsidRPr="00E56550">
        <w:rPr>
          <w:rFonts w:asciiTheme="majorHAnsi" w:hAnsiTheme="majorHAnsi"/>
          <w:lang w:val="ro-RO"/>
        </w:rPr>
        <w:t xml:space="preserve"> preferă acest tip de angajare. În timp ce 42,1% dintre tinerii 15-24 de ani angajaţi din UE-28 au un loc de muncă temporar, doar 3,1% dintre tinerii români sunt încadraţi temporar în locul de muncă</w:t>
      </w:r>
      <w:r>
        <w:rPr>
          <w:rStyle w:val="FootnoteReference"/>
          <w:rFonts w:asciiTheme="majorHAnsi" w:hAnsiTheme="majorHAnsi"/>
          <w:lang w:val="ro-RO"/>
        </w:rPr>
        <w:footnoteReference w:id="16"/>
      </w:r>
      <w:r w:rsidRPr="00E56550">
        <w:rPr>
          <w:rFonts w:asciiTheme="majorHAnsi" w:hAnsiTheme="majorHAnsi"/>
          <w:lang w:val="ro-RO"/>
        </w:rPr>
        <w:t>. Ocuparea temporară şi cu program de lucru parţial se constituie mai mult ca o barieră pentru intrarea tinerilor pe piaţa de muncă, în loc să constituie o caracteristică a unei pieţe a muncii flexibile, cu forme alternative de ocupare</w:t>
      </w:r>
      <w:r>
        <w:rPr>
          <w:rStyle w:val="FootnoteReference"/>
          <w:rFonts w:asciiTheme="majorHAnsi" w:hAnsiTheme="majorHAnsi"/>
          <w:lang w:val="ro-RO"/>
        </w:rPr>
        <w:footnoteReference w:id="17"/>
      </w:r>
      <w:r w:rsidRPr="00E56550">
        <w:rPr>
          <w:rFonts w:asciiTheme="majorHAnsi" w:hAnsiTheme="majorHAnsi"/>
          <w:lang w:val="ro-RO"/>
        </w:rPr>
        <w:t>.</w:t>
      </w:r>
    </w:p>
    <w:p w:rsidR="00822FF7" w:rsidRDefault="00822FF7" w:rsidP="00822FF7">
      <w:pPr>
        <w:spacing w:after="120"/>
        <w:jc w:val="both"/>
        <w:rPr>
          <w:rFonts w:asciiTheme="majorHAnsi" w:hAnsiTheme="majorHAnsi"/>
          <w:lang w:val="ro-RO"/>
        </w:rPr>
      </w:pPr>
      <w:r>
        <w:rPr>
          <w:rFonts w:asciiTheme="majorHAnsi" w:hAnsiTheme="majorHAnsi"/>
          <w:lang w:val="ro-RO"/>
        </w:rPr>
        <w:t>T</w:t>
      </w:r>
      <w:r w:rsidRPr="005543D6">
        <w:rPr>
          <w:rFonts w:asciiTheme="majorHAnsi" w:hAnsiTheme="majorHAnsi"/>
          <w:lang w:val="ro-RO"/>
        </w:rPr>
        <w:t xml:space="preserve">inerii ocupaţi în sectorul informal, în principal în agricultura de subzistenţă, constituie una dintre cele mai vulnerabile categorii sociale. </w:t>
      </w:r>
      <w:r>
        <w:rPr>
          <w:rFonts w:asciiTheme="majorHAnsi" w:hAnsiTheme="majorHAnsi"/>
          <w:lang w:val="ro-RO"/>
        </w:rPr>
        <w:t>P</w:t>
      </w:r>
      <w:r w:rsidRPr="005543D6">
        <w:rPr>
          <w:rFonts w:asciiTheme="majorHAnsi" w:hAnsiTheme="majorHAnsi"/>
          <w:lang w:val="ro-RO"/>
        </w:rPr>
        <w:t>este 40% din persoanele ocupate în sectorul informal sunt tineri de 15-34 ani.</w:t>
      </w:r>
      <w:r>
        <w:rPr>
          <w:rStyle w:val="FootnoteReference"/>
          <w:rFonts w:asciiTheme="majorHAnsi" w:hAnsiTheme="majorHAnsi"/>
          <w:lang w:val="ro-RO"/>
        </w:rPr>
        <w:footnoteReference w:id="18"/>
      </w:r>
      <w:r w:rsidRPr="005543D6">
        <w:rPr>
          <w:rFonts w:asciiTheme="majorHAnsi" w:hAnsiTheme="majorHAnsi"/>
          <w:lang w:val="ro-RO"/>
        </w:rPr>
        <w:t xml:space="preserve"> </w:t>
      </w:r>
    </w:p>
    <w:p w:rsidR="00822FF7" w:rsidRPr="005543D6" w:rsidRDefault="00822FF7" w:rsidP="00822FF7">
      <w:pPr>
        <w:spacing w:after="120"/>
        <w:jc w:val="both"/>
        <w:rPr>
          <w:rFonts w:asciiTheme="majorHAnsi" w:hAnsiTheme="majorHAnsi"/>
          <w:lang w:val="ro-RO"/>
        </w:rPr>
      </w:pPr>
      <w:r w:rsidRPr="005543D6">
        <w:rPr>
          <w:rFonts w:asciiTheme="majorHAnsi" w:hAnsiTheme="majorHAnsi"/>
          <w:lang w:val="ro-RO"/>
        </w:rPr>
        <w:t>Rata șomajului BIM pe ansamblul populaţiei este de 7%, nivel mai degrabă scăzut în contextul UE-28 (anul 2012) în timp ce în rândul tinerilor sub 25 de ani se înregistrează o valoare alarmantă de 22,7%.</w:t>
      </w:r>
      <w:r w:rsidRPr="00FF6AB9">
        <w:rPr>
          <w:rStyle w:val="FootnoteReference"/>
          <w:lang w:val="ro-RO"/>
        </w:rPr>
        <w:footnoteReference w:id="19"/>
      </w:r>
      <w:r w:rsidRPr="00FF6AB9">
        <w:rPr>
          <w:lang w:val="ro-RO"/>
        </w:rPr>
        <w:t xml:space="preserve"> </w:t>
      </w:r>
      <w:r w:rsidRPr="005543D6">
        <w:rPr>
          <w:rFonts w:asciiTheme="majorHAnsi" w:hAnsiTheme="majorHAnsi"/>
          <w:lang w:val="ro-RO"/>
        </w:rPr>
        <w:t xml:space="preserve">Șomajul este mai mare decât la nivelul întregii populaţii active şi în grupa de vârstă 25-34 ani, respectiv 8.6%. Accesul la resursele europene mobilizate prin Iniţiativa de Ocupare a Tinerilor depinde de situaţia şomajului în rândul tinerilor la nivelul anului 2012. În trei dintre regiunile de dezvoltare ale României (NUTS 2), respectiv Centru, Sud-Muntenia şi Sud-Est, rata şomajului în </w:t>
      </w:r>
      <w:r w:rsidRPr="005543D6">
        <w:rPr>
          <w:rFonts w:asciiTheme="majorHAnsi" w:hAnsiTheme="majorHAnsi"/>
          <w:lang w:val="ro-RO"/>
        </w:rPr>
        <w:lastRenderedPageBreak/>
        <w:t>rândul tinerilor de 15-24 ani depăşea în anul 2012 valoarea 25%, ceea ce le face eligibile pentru sprijin financiar european în cadrul Iniţiativei menţionate</w:t>
      </w:r>
      <w:r w:rsidRPr="0020672B">
        <w:rPr>
          <w:rStyle w:val="FootnoteReference"/>
          <w:lang w:val="ro-RO"/>
        </w:rPr>
        <w:footnoteReference w:id="20"/>
      </w:r>
      <w:r>
        <w:rPr>
          <w:rFonts w:asciiTheme="majorHAnsi" w:hAnsiTheme="majorHAnsi"/>
          <w:lang w:val="ro-RO"/>
        </w:rPr>
        <w:t xml:space="preserve">. </w:t>
      </w:r>
      <w:r w:rsidRPr="005543D6">
        <w:rPr>
          <w:rFonts w:asciiTheme="majorHAnsi" w:hAnsiTheme="majorHAnsi"/>
          <w:lang w:val="ro-RO"/>
        </w:rPr>
        <w:t>Datele asupra  şomajului la tineri la nivel regional arată că există diferenţe regionale semnificative, nivelul variind între 36,3% în regiunea Centru și 11,9% în regiunea Nord‐Est.</w:t>
      </w:r>
    </w:p>
    <w:p w:rsidR="00822FF7" w:rsidRDefault="00822FF7" w:rsidP="00822FF7">
      <w:pPr>
        <w:spacing w:after="120"/>
        <w:jc w:val="both"/>
        <w:rPr>
          <w:rFonts w:asciiTheme="majorHAnsi" w:hAnsiTheme="majorHAnsi"/>
          <w:lang w:val="ro-RO"/>
        </w:rPr>
      </w:pPr>
      <w:r w:rsidRPr="00B60378">
        <w:rPr>
          <w:rFonts w:asciiTheme="majorHAnsi" w:hAnsiTheme="majorHAnsi"/>
          <w:lang w:val="ro-RO"/>
        </w:rPr>
        <w:t xml:space="preserve">O mare parte a șomajului în rândul tinerilor este cronicizat, prelungindu-se pentru mai mult de 1 an: 43.3% din totalul șomerilor între 15 și 24 de ani </w:t>
      </w:r>
      <w:r>
        <w:rPr>
          <w:rFonts w:asciiTheme="majorHAnsi" w:hAnsiTheme="majorHAnsi"/>
          <w:lang w:val="ro-RO"/>
        </w:rPr>
        <w:t>erau</w:t>
      </w:r>
      <w:r w:rsidRPr="00B60378">
        <w:rPr>
          <w:rFonts w:asciiTheme="majorHAnsi" w:hAnsiTheme="majorHAnsi"/>
          <w:lang w:val="ro-RO"/>
        </w:rPr>
        <w:t xml:space="preserve"> șomeri pe termen lung</w:t>
      </w:r>
      <w:r>
        <w:rPr>
          <w:rFonts w:asciiTheme="majorHAnsi" w:hAnsiTheme="majorHAnsi"/>
          <w:lang w:val="ro-RO"/>
        </w:rPr>
        <w:t xml:space="preserve"> în 2012</w:t>
      </w:r>
      <w:r w:rsidRPr="00B60378">
        <w:rPr>
          <w:rFonts w:asciiTheme="majorHAnsi" w:hAnsiTheme="majorHAnsi"/>
          <w:lang w:val="ro-RO"/>
        </w:rPr>
        <w:t xml:space="preserve">. Rata şomajului de lungă durată în rândul tinerilor de 15-24 ani era de 13.3%, faţă de 3.2% pe ansamblul populaţiei active. </w:t>
      </w:r>
    </w:p>
    <w:p w:rsidR="00822FF7" w:rsidRDefault="00822FF7" w:rsidP="00822FF7">
      <w:pPr>
        <w:spacing w:after="120"/>
        <w:jc w:val="both"/>
        <w:rPr>
          <w:rFonts w:asciiTheme="majorHAnsi" w:hAnsiTheme="majorHAnsi"/>
          <w:lang w:val="ro-RO"/>
        </w:rPr>
      </w:pPr>
      <w:r w:rsidRPr="00C6417B">
        <w:rPr>
          <w:rFonts w:asciiTheme="majorHAnsi" w:hAnsiTheme="majorHAnsi"/>
          <w:lang w:val="ro-RO"/>
        </w:rPr>
        <w:t xml:space="preserve">Un risc special îl constituie faptul că absolvirea învăţământului superior nu ameliorează în România, contrar tendinţei la nivel global, șansele de succes pe piaţa muncii. Astfel, dacă șomajul BIM în rândul persoanelor între 25-29 ani care au absolvit </w:t>
      </w:r>
      <w:r>
        <w:rPr>
          <w:rFonts w:asciiTheme="majorHAnsi" w:hAnsiTheme="majorHAnsi"/>
          <w:lang w:val="ro-RO"/>
        </w:rPr>
        <w:t>o școală de nivel liceal sau post-liceal era de 10,3% în 2012, nivelul era de 10,9</w:t>
      </w:r>
      <w:r w:rsidRPr="00C6417B">
        <w:rPr>
          <w:rFonts w:asciiTheme="majorHAnsi" w:hAnsiTheme="majorHAnsi"/>
          <w:lang w:val="ro-RO"/>
        </w:rPr>
        <w:t xml:space="preserve">% în cazul absolvenţilor de învăţământ superior. </w:t>
      </w:r>
      <w:r>
        <w:rPr>
          <w:rFonts w:asciiTheme="majorHAnsi" w:hAnsiTheme="majorHAnsi"/>
          <w:lang w:val="ro-RO"/>
        </w:rPr>
        <w:t>I</w:t>
      </w:r>
      <w:r w:rsidRPr="00B91A33">
        <w:rPr>
          <w:rFonts w:asciiTheme="majorHAnsi" w:hAnsiTheme="majorHAnsi"/>
          <w:lang w:val="ro-RO"/>
        </w:rPr>
        <w:t>ntrarea absolvenţilor de învăţământ superior pe piaţa muncii este blocată din cauza faptului că angajatorii preferă  personalul cu experienţă</w:t>
      </w:r>
      <w:r w:rsidRPr="00FF6AB9">
        <w:rPr>
          <w:rStyle w:val="FootnoteReference"/>
          <w:noProof/>
          <w:lang w:val="ro-RO"/>
        </w:rPr>
        <w:footnoteReference w:id="21"/>
      </w:r>
      <w:r w:rsidRPr="00B91A33">
        <w:rPr>
          <w:rFonts w:asciiTheme="majorHAnsi" w:hAnsiTheme="majorHAnsi"/>
          <w:lang w:val="ro-RO"/>
        </w:rPr>
        <w:t xml:space="preserve">. </w:t>
      </w:r>
    </w:p>
    <w:p w:rsidR="00822FF7" w:rsidRPr="00FF6AB9" w:rsidRDefault="00822FF7" w:rsidP="00822FF7">
      <w:pPr>
        <w:spacing w:after="120"/>
        <w:jc w:val="both"/>
        <w:rPr>
          <w:lang w:val="ro-RO"/>
        </w:rPr>
      </w:pPr>
      <w:r w:rsidRPr="002613D7">
        <w:rPr>
          <w:rFonts w:asciiTheme="majorHAnsi" w:hAnsiTheme="majorHAnsi"/>
          <w:lang w:val="ro-RO"/>
        </w:rPr>
        <w:t xml:space="preserve">În 2012, </w:t>
      </w:r>
      <w:r>
        <w:rPr>
          <w:rFonts w:asciiTheme="majorHAnsi" w:hAnsiTheme="majorHAnsi"/>
          <w:lang w:val="ro-RO"/>
        </w:rPr>
        <w:t>16,8% dintre tinerii din România erau clasificaţi ca NEET</w:t>
      </w:r>
      <w:r w:rsidRPr="002613D7">
        <w:rPr>
          <w:rFonts w:asciiTheme="majorHAnsi" w:hAnsiTheme="majorHAnsi"/>
          <w:lang w:val="ro-RO"/>
        </w:rPr>
        <w:t xml:space="preserve"> (</w:t>
      </w:r>
      <w:r>
        <w:rPr>
          <w:rFonts w:asciiTheme="majorHAnsi" w:hAnsiTheme="majorHAnsi"/>
          <w:lang w:val="ro-RO"/>
        </w:rPr>
        <w:t>tineri de 15-24 ani, care nu sunt încadrați profesional și nu urmează niciun program educațional sau de formare</w:t>
      </w:r>
      <w:r w:rsidRPr="002613D7">
        <w:rPr>
          <w:rFonts w:asciiTheme="majorHAnsi" w:hAnsiTheme="majorHAnsi"/>
          <w:lang w:val="ro-RO"/>
        </w:rPr>
        <w:t xml:space="preserve">), </w:t>
      </w:r>
      <w:r>
        <w:rPr>
          <w:rFonts w:asciiTheme="majorHAnsi" w:hAnsiTheme="majorHAnsi"/>
          <w:lang w:val="ro-RO"/>
        </w:rPr>
        <w:t>față de 13,2% dintre tinerii din UE-27</w:t>
      </w:r>
      <w:r>
        <w:rPr>
          <w:rStyle w:val="FootnoteReference"/>
          <w:rFonts w:asciiTheme="majorHAnsi" w:hAnsiTheme="majorHAnsi"/>
          <w:lang w:val="ro-RO"/>
        </w:rPr>
        <w:footnoteReference w:id="22"/>
      </w:r>
      <w:r w:rsidRPr="00FF6AB9">
        <w:rPr>
          <w:lang w:val="ro-RO"/>
        </w:rPr>
        <w:t xml:space="preserve">. </w:t>
      </w:r>
      <w:r w:rsidRPr="00087238">
        <w:rPr>
          <w:rFonts w:asciiTheme="majorHAnsi" w:hAnsiTheme="majorHAnsi"/>
          <w:lang w:val="ro-RO"/>
        </w:rPr>
        <w:t xml:space="preserve">După mai mulţi ani de declin </w:t>
      </w:r>
      <w:r>
        <w:rPr>
          <w:rFonts w:asciiTheme="majorHAnsi" w:hAnsiTheme="majorHAnsi"/>
          <w:lang w:val="ro-RO"/>
        </w:rPr>
        <w:t>la nivel european, ponderea</w:t>
      </w:r>
      <w:r w:rsidRPr="00087238">
        <w:rPr>
          <w:rFonts w:asciiTheme="majorHAnsi" w:hAnsiTheme="majorHAnsi"/>
          <w:lang w:val="ro-RO"/>
        </w:rPr>
        <w:t xml:space="preserve"> s-a stabilizat în </w:t>
      </w:r>
      <w:r>
        <w:rPr>
          <w:rFonts w:asciiTheme="majorHAnsi" w:hAnsiTheme="majorHAnsi"/>
          <w:lang w:val="ro-RO"/>
        </w:rPr>
        <w:t>2008, dar a crescut apoi ca urmare a crizei economice.</w:t>
      </w:r>
      <w:r w:rsidRPr="00087238">
        <w:rPr>
          <w:rFonts w:asciiTheme="majorHAnsi" w:hAnsiTheme="majorHAnsi"/>
          <w:lang w:val="ro-RO"/>
        </w:rPr>
        <w:t xml:space="preserve"> Și în România a avut loc o creștere a ponderii </w:t>
      </w:r>
      <w:r>
        <w:rPr>
          <w:rFonts w:asciiTheme="majorHAnsi" w:hAnsiTheme="majorHAnsi"/>
          <w:lang w:val="ro-RO"/>
        </w:rPr>
        <w:t>NEET, de la 11,6% în 2008 la 17,7</w:t>
      </w:r>
      <w:r w:rsidRPr="00087238">
        <w:rPr>
          <w:rFonts w:asciiTheme="majorHAnsi" w:hAnsiTheme="majorHAnsi"/>
          <w:lang w:val="ro-RO"/>
        </w:rPr>
        <w:t>% în 2011</w:t>
      </w:r>
      <w:r>
        <w:rPr>
          <w:rFonts w:asciiTheme="majorHAnsi" w:hAnsiTheme="majorHAnsi"/>
          <w:lang w:val="ro-RO"/>
        </w:rPr>
        <w:t>, la nivelul ultimului an înregistrându-se o ușoară ameliorare a fenomenului.</w:t>
      </w:r>
      <w:r w:rsidRPr="00FF6AB9">
        <w:rPr>
          <w:lang w:val="ro-RO"/>
        </w:rPr>
        <w:t xml:space="preserve"> </w:t>
      </w:r>
    </w:p>
    <w:p w:rsidR="00822FF7" w:rsidRDefault="00822FF7" w:rsidP="00822FF7">
      <w:pPr>
        <w:pStyle w:val="Heading3"/>
        <w:rPr>
          <w:lang w:val="ro-RO"/>
        </w:rPr>
      </w:pPr>
      <w:bookmarkStart w:id="35" w:name="_Toc239222848"/>
      <w:bookmarkStart w:id="36" w:name="_Toc243570846"/>
      <w:bookmarkStart w:id="37" w:name="_Toc370211855"/>
      <w:r w:rsidRPr="0002274F">
        <w:rPr>
          <w:lang w:val="ro-RO"/>
        </w:rPr>
        <w:t>Antreprenoriat</w:t>
      </w:r>
      <w:bookmarkEnd w:id="35"/>
      <w:bookmarkEnd w:id="36"/>
      <w:bookmarkEnd w:id="37"/>
    </w:p>
    <w:p w:rsidR="00822FF7" w:rsidRPr="00AA4B81" w:rsidRDefault="00822FF7" w:rsidP="00822FF7"/>
    <w:p w:rsidR="00822FF7" w:rsidRPr="000A338F" w:rsidRDefault="00822FF7" w:rsidP="00822FF7">
      <w:pPr>
        <w:spacing w:after="240"/>
        <w:jc w:val="both"/>
        <w:rPr>
          <w:rFonts w:asciiTheme="majorHAnsi" w:hAnsiTheme="majorHAnsi"/>
          <w:lang w:val="ro-RO"/>
        </w:rPr>
      </w:pPr>
      <w:r w:rsidRPr="00FA6AFA">
        <w:rPr>
          <w:rFonts w:asciiTheme="majorHAnsi" w:hAnsiTheme="majorHAnsi"/>
          <w:lang w:val="ro-RO"/>
        </w:rPr>
        <w:t>Aproximativ un sfert dintre tinerii din România (27%)</w:t>
      </w:r>
      <w:r>
        <w:rPr>
          <w:rStyle w:val="FootnoteReference"/>
          <w:rFonts w:asciiTheme="majorHAnsi" w:hAnsiTheme="majorHAnsi"/>
          <w:lang w:val="ro-RO"/>
        </w:rPr>
        <w:footnoteReference w:id="23"/>
      </w:r>
      <w:r>
        <w:rPr>
          <w:rFonts w:asciiTheme="majorHAnsi" w:hAnsiTheme="majorHAnsi"/>
          <w:lang w:val="ro-RO"/>
        </w:rPr>
        <w:t xml:space="preserve"> doresc în principiu să deschidă o</w:t>
      </w:r>
      <w:r w:rsidRPr="00FA6AFA">
        <w:rPr>
          <w:rFonts w:asciiTheme="majorHAnsi" w:hAnsiTheme="majorHAnsi"/>
          <w:lang w:val="ro-RO"/>
        </w:rPr>
        <w:t xml:space="preserve"> afacere. Cel mai vizat domeniu de către tineri este cel al comerţului, serviciilor și  consultanţei (30%), urmat de cel al agriculturii, zootehniei, pisciculturii și silviculturii (18%). </w:t>
      </w:r>
      <w:r w:rsidRPr="000A338F">
        <w:rPr>
          <w:rFonts w:asciiTheme="majorHAnsi" w:hAnsiTheme="majorHAnsi"/>
          <w:lang w:val="ro-RO"/>
        </w:rPr>
        <w:t>În România, 1 tânăr din 100 decide să înceapă o afacere pe cont propriu, faţă de 1 din 4 tineri în Cehia, Polonia sau Ungaria</w:t>
      </w:r>
      <w:r>
        <w:rPr>
          <w:rStyle w:val="FootnoteReference"/>
          <w:rFonts w:asciiTheme="majorHAnsi" w:hAnsiTheme="majorHAnsi"/>
          <w:lang w:val="ro-RO"/>
        </w:rPr>
        <w:footnoteReference w:id="24"/>
      </w:r>
      <w:r w:rsidRPr="000A338F">
        <w:rPr>
          <w:rFonts w:asciiTheme="majorHAnsi" w:hAnsiTheme="majorHAnsi"/>
          <w:lang w:val="ro-RO"/>
        </w:rPr>
        <w:t>. Cele mai frecvente cauze invocate sunt lipsa banilor şi birocraţia.</w:t>
      </w:r>
      <w:r w:rsidRPr="00FF6AB9">
        <w:rPr>
          <w:rStyle w:val="FootnoteReference"/>
          <w:lang w:val="ro-RO"/>
        </w:rPr>
        <w:footnoteReference w:id="25"/>
      </w:r>
      <w:r>
        <w:rPr>
          <w:lang w:val="ro-RO"/>
        </w:rPr>
        <w:t xml:space="preserve"> </w:t>
      </w:r>
      <w:r w:rsidRPr="00FF6AB9">
        <w:rPr>
          <w:lang w:val="ro-RO"/>
        </w:rPr>
        <w:t xml:space="preserve">Statisticile la nivel european indică </w:t>
      </w:r>
      <w:r w:rsidRPr="00FF6AB9">
        <w:rPr>
          <w:lang w:val="ro-RO"/>
        </w:rPr>
        <w:lastRenderedPageBreak/>
        <w:t>faptul că România acordă o importanţă redusă educaţiei antreprenoriale, astfel încât mai puţin de 10% din cei care au iniţiat şi dezvoltat o afacere au şi o bază teoretică în acest sens, comparativ cu media europeană de 30%.</w:t>
      </w:r>
      <w:r w:rsidRPr="00FF6AB9">
        <w:rPr>
          <w:rStyle w:val="FootnoteReference"/>
          <w:lang w:val="ro-RO"/>
        </w:rPr>
        <w:footnoteReference w:id="26"/>
      </w:r>
    </w:p>
    <w:p w:rsidR="00822FF7" w:rsidRPr="00DA6D32" w:rsidRDefault="00822FF7" w:rsidP="00822FF7">
      <w:pPr>
        <w:pStyle w:val="Heading3"/>
        <w:rPr>
          <w:lang w:val="ro-RO"/>
        </w:rPr>
      </w:pPr>
      <w:bookmarkStart w:id="38" w:name="_Toc370211856"/>
      <w:bookmarkStart w:id="39" w:name="_Toc239222849"/>
      <w:bookmarkStart w:id="40" w:name="_Toc243570847"/>
      <w:r>
        <w:rPr>
          <w:lang w:val="ro-RO"/>
        </w:rPr>
        <w:t>R</w:t>
      </w:r>
      <w:r w:rsidRPr="00DA6D32">
        <w:rPr>
          <w:lang w:val="ro-RO"/>
        </w:rPr>
        <w:t>ezultate așteptate</w:t>
      </w:r>
      <w:bookmarkEnd w:id="38"/>
    </w:p>
    <w:p w:rsidR="00822FF7" w:rsidRPr="00DA6D32" w:rsidRDefault="00822FF7" w:rsidP="00822FF7">
      <w:pPr>
        <w:spacing w:after="120"/>
        <w:jc w:val="both"/>
        <w:rPr>
          <w:lang w:val="ro-RO"/>
        </w:rPr>
      </w:pPr>
      <w:r w:rsidRPr="00DA6D32">
        <w:rPr>
          <w:lang w:val="ro-RO"/>
        </w:rPr>
        <w:t>Faţă de situaţia prezentată mai sus, Strategia îşi propune ca prin obiectivele specifice şi direcţiile sale de acţiune să îmbunătăţească participarea tinerilor pe piaţa muncii, atât cantitativ cât şi calitativ, să-i capaciteze pentru dezvoltarea şi valorificarea potenţialului lor profesional, să dezvolte capacitatea tinerilor de a căuta, găsi şi ocupa locuri de muncă potrivite pregătirii şi abilităţilor lor profesionale, să-i sprijine în înfiinţarea şi dezvoltarea de afaceri proprii, să-i sprijine în întemeierea unei familii şi să le creeze condiţii pentru îmbinarea armonioasă a vieţii profesionale cu cea de familie şi pentru participarea cât mai largă la viaţa socială, culturală, civică şi politică a ţării şi a Europei. Realizând acestea, Strategia acordă o atenţie specială tinerilor care din diferite motive ar putea avea mai puţine oportunităţi</w:t>
      </w:r>
      <w:r>
        <w:rPr>
          <w:lang w:val="ro-RO"/>
        </w:rPr>
        <w:t xml:space="preserve"> şi prevede direcții de acțiune pentru tinerii cu risc ridicat de a deveni inactivi economic și de a cădea în capcana sărăciei cronice: </w:t>
      </w:r>
      <w:r>
        <w:rPr>
          <w:rFonts w:asciiTheme="majorHAnsi" w:hAnsiTheme="majorHAnsi"/>
          <w:lang w:val="ro-RO"/>
        </w:rPr>
        <w:t>șomerii de lungă durată și NEETs</w:t>
      </w:r>
      <w:r w:rsidRPr="00DA6D32">
        <w:rPr>
          <w:lang w:val="ro-RO"/>
        </w:rPr>
        <w:t>.</w:t>
      </w:r>
    </w:p>
    <w:p w:rsidR="00822FF7" w:rsidRPr="0055043C" w:rsidRDefault="00822FF7" w:rsidP="00822FF7">
      <w:pPr>
        <w:autoSpaceDE w:val="0"/>
        <w:autoSpaceDN w:val="0"/>
        <w:adjustRightInd w:val="0"/>
        <w:jc w:val="both"/>
        <w:rPr>
          <w:lang w:val="ro-RO"/>
        </w:rPr>
      </w:pPr>
      <w:r>
        <w:rPr>
          <w:lang w:val="ro-RO"/>
        </w:rPr>
        <w:t xml:space="preserve">Strategia adresează combatarea unor </w:t>
      </w:r>
      <w:r w:rsidRPr="008E652B">
        <w:rPr>
          <w:lang w:val="ro-RO"/>
        </w:rPr>
        <w:t>probleme specifice pieţei de muncă din România, cum ar fi angajarea</w:t>
      </w:r>
      <w:r>
        <w:rPr>
          <w:lang w:val="ro-RO"/>
        </w:rPr>
        <w:t xml:space="preserve"> masivă</w:t>
      </w:r>
      <w:r w:rsidRPr="008E652B">
        <w:rPr>
          <w:lang w:val="ro-RO"/>
        </w:rPr>
        <w:t xml:space="preserve"> în sectorul informal, falsa ocupare </w:t>
      </w:r>
      <w:r>
        <w:rPr>
          <w:lang w:val="ro-RO"/>
        </w:rPr>
        <w:t>prin angajarea în activități de subzistență</w:t>
      </w:r>
      <w:r w:rsidRPr="008E652B">
        <w:rPr>
          <w:lang w:val="ro-RO"/>
        </w:rPr>
        <w:t xml:space="preserve"> pe cont propriu, insecuritatea locului de muncă, sărăcia salarială, lipsa de acces la forme de pregătire continuă pentru piaţa muncii și alte forme de excluziune ocupaţională</w:t>
      </w:r>
      <w:r w:rsidRPr="0055043C">
        <w:rPr>
          <w:lang w:val="ro-RO"/>
        </w:rPr>
        <w:t>, ca urmare a implementări</w:t>
      </w:r>
      <w:r>
        <w:rPr>
          <w:lang w:val="ro-RO"/>
        </w:rPr>
        <w:t>i</w:t>
      </w:r>
      <w:r w:rsidRPr="0055043C">
        <w:rPr>
          <w:lang w:val="ro-RO"/>
        </w:rPr>
        <w:t xml:space="preserve"> așteptându-se o diminuare a incidenței acestor</w:t>
      </w:r>
      <w:r>
        <w:rPr>
          <w:lang w:val="ro-RO"/>
        </w:rPr>
        <w:t xml:space="preserve"> fenomene</w:t>
      </w:r>
      <w:r w:rsidRPr="0055043C">
        <w:rPr>
          <w:lang w:val="ro-RO"/>
        </w:rPr>
        <w:t>.</w:t>
      </w:r>
    </w:p>
    <w:p w:rsidR="00822FF7" w:rsidRDefault="00822FF7" w:rsidP="00822FF7">
      <w:pPr>
        <w:pStyle w:val="Heading2"/>
      </w:pPr>
    </w:p>
    <w:p w:rsidR="00822FF7" w:rsidRPr="000B71CF" w:rsidRDefault="00822FF7" w:rsidP="00822FF7">
      <w:pPr>
        <w:pStyle w:val="Heading2"/>
        <w:rPr>
          <w:rFonts w:cs="Times New Roman"/>
        </w:rPr>
      </w:pPr>
      <w:bookmarkStart w:id="41" w:name="_Toc370211857"/>
      <w:r w:rsidRPr="000B71CF">
        <w:t xml:space="preserve">Educaţie </w:t>
      </w:r>
      <w:r>
        <w:t xml:space="preserve">formală, </w:t>
      </w:r>
      <w:r w:rsidRPr="000B71CF">
        <w:t>non-formală și cultură</w:t>
      </w:r>
      <w:bookmarkEnd w:id="39"/>
      <w:bookmarkEnd w:id="40"/>
      <w:bookmarkEnd w:id="41"/>
    </w:p>
    <w:p w:rsidR="00822FF7" w:rsidRDefault="00822FF7" w:rsidP="00822FF7">
      <w:pPr>
        <w:spacing w:after="120"/>
        <w:jc w:val="both"/>
        <w:rPr>
          <w:rFonts w:asciiTheme="majorHAnsi" w:hAnsiTheme="majorHAnsi"/>
          <w:lang w:val="ro-RO"/>
        </w:rPr>
      </w:pPr>
    </w:p>
    <w:p w:rsidR="00822FF7" w:rsidRPr="00762B68" w:rsidRDefault="00822FF7" w:rsidP="00822FF7">
      <w:pPr>
        <w:spacing w:after="120"/>
        <w:jc w:val="both"/>
        <w:rPr>
          <w:rFonts w:asciiTheme="majorHAnsi" w:hAnsiTheme="majorHAnsi"/>
          <w:lang w:val="ro-RO"/>
        </w:rPr>
      </w:pPr>
      <w:r w:rsidRPr="00762B68">
        <w:rPr>
          <w:rFonts w:asciiTheme="majorHAnsi" w:hAnsiTheme="majorHAnsi"/>
          <w:lang w:val="ro-RO"/>
        </w:rPr>
        <w:t>Rata de participare pentru toate nivelurile de educaţie a populaţiei cu vârsta între 15 şi 24 de ani este de 55,8%, ceea ce o plasează cu 5,2 puncte procentuale sub nivelul UE-27.</w:t>
      </w:r>
    </w:p>
    <w:p w:rsidR="00822FF7" w:rsidRDefault="00822FF7" w:rsidP="00822FF7">
      <w:pPr>
        <w:spacing w:after="120"/>
        <w:jc w:val="both"/>
        <w:rPr>
          <w:rFonts w:asciiTheme="majorHAnsi" w:hAnsiTheme="majorHAnsi"/>
          <w:lang w:val="ro-RO"/>
        </w:rPr>
      </w:pPr>
      <w:r w:rsidRPr="00762B68">
        <w:rPr>
          <w:rFonts w:asciiTheme="majorHAnsi" w:hAnsiTheme="majorHAnsi"/>
          <w:lang w:val="ro-RO"/>
        </w:rPr>
        <w:t>În 2012, rata de părăsire timpurie a școlii de către tinerii între 18 și 24 de ani era de 17,4%</w:t>
      </w:r>
      <w:r>
        <w:rPr>
          <w:rFonts w:asciiTheme="majorHAnsi" w:hAnsiTheme="majorHAnsi"/>
          <w:lang w:val="ro-RO"/>
        </w:rPr>
        <w:t>, în scădere nesemnificativă față de anul anterior, ținta României pentru 2020 fiind de 11,3%</w:t>
      </w:r>
      <w:r w:rsidRPr="00762B68">
        <w:rPr>
          <w:rFonts w:asciiTheme="majorHAnsi" w:hAnsiTheme="majorHAnsi"/>
          <w:lang w:val="ro-RO"/>
        </w:rPr>
        <w:t xml:space="preserve">. Aceștia au absolvit cel mult gimnaziul și nu mai participă  la nicio formă  de educaţie sau formare, fiind expuși riscului de şomaj şi inactivitate. Astfel, procentul tinerilor care nu se află cuprinşi nici în educaţie sau formare, nici în ocupare este cu o cincime mai mare decât cel înregistrat la nivel european. Mai mult de un tânăr din 5 părăseşte timpuriu învăţământul în regiunile </w:t>
      </w:r>
      <w:r>
        <w:rPr>
          <w:rFonts w:asciiTheme="majorHAnsi" w:hAnsiTheme="majorHAnsi"/>
          <w:lang w:val="ro-RO"/>
        </w:rPr>
        <w:t>Nord-</w:t>
      </w:r>
      <w:r w:rsidRPr="00762B68">
        <w:rPr>
          <w:rFonts w:asciiTheme="majorHAnsi" w:hAnsiTheme="majorHAnsi"/>
          <w:lang w:val="ro-RO"/>
        </w:rPr>
        <w:t xml:space="preserve">Est şi Sud-Muntenia. </w:t>
      </w:r>
      <w:r>
        <w:rPr>
          <w:rFonts w:asciiTheme="majorHAnsi" w:hAnsiTheme="majorHAnsi"/>
          <w:lang w:val="ro-RO"/>
        </w:rPr>
        <w:t>R</w:t>
      </w:r>
      <w:r w:rsidRPr="00CC0204">
        <w:rPr>
          <w:rFonts w:asciiTheme="majorHAnsi" w:hAnsiTheme="majorHAnsi"/>
          <w:lang w:val="ro-RO"/>
        </w:rPr>
        <w:t>atele cele mai ridicate de abandon școlar, de peste 2%</w:t>
      </w:r>
      <w:r>
        <w:rPr>
          <w:rStyle w:val="FootnoteReference"/>
          <w:rFonts w:asciiTheme="majorHAnsi" w:hAnsiTheme="majorHAnsi"/>
          <w:lang w:val="ro-RO"/>
        </w:rPr>
        <w:footnoteReference w:id="27"/>
      </w:r>
      <w:r w:rsidRPr="00CC0204">
        <w:rPr>
          <w:rFonts w:asciiTheme="majorHAnsi" w:hAnsiTheme="majorHAnsi"/>
          <w:lang w:val="ro-RO"/>
        </w:rPr>
        <w:t>, se înregistrează la clasele de început ale ciclurilor de  școlarizare din ciclul obligatoriu, în ceilalţi ani de studiu abandonul fiind ceva mai scăzut.</w:t>
      </w:r>
    </w:p>
    <w:p w:rsidR="00822FF7" w:rsidRPr="006F3185" w:rsidRDefault="00822FF7" w:rsidP="00822FF7">
      <w:pPr>
        <w:spacing w:after="120"/>
        <w:jc w:val="both"/>
        <w:rPr>
          <w:rFonts w:asciiTheme="majorHAnsi" w:hAnsiTheme="majorHAnsi"/>
          <w:color w:val="FF0000"/>
          <w:lang w:val="ro-RO"/>
        </w:rPr>
      </w:pPr>
      <w:r>
        <w:rPr>
          <w:rFonts w:asciiTheme="majorHAnsi" w:hAnsiTheme="majorHAnsi"/>
          <w:lang w:val="ro-RO"/>
        </w:rPr>
        <w:t>P</w:t>
      </w:r>
      <w:r w:rsidRPr="006610E7">
        <w:rPr>
          <w:rFonts w:asciiTheme="majorHAnsi" w:hAnsiTheme="majorHAnsi"/>
          <w:lang w:val="ro-RO"/>
        </w:rPr>
        <w:t>rincipal</w:t>
      </w:r>
      <w:r>
        <w:rPr>
          <w:rFonts w:asciiTheme="majorHAnsi" w:hAnsiTheme="majorHAnsi"/>
          <w:lang w:val="ro-RO"/>
        </w:rPr>
        <w:t>ul</w:t>
      </w:r>
      <w:r w:rsidRPr="006610E7">
        <w:rPr>
          <w:rFonts w:asciiTheme="majorHAnsi" w:hAnsiTheme="majorHAnsi"/>
          <w:lang w:val="ro-RO"/>
        </w:rPr>
        <w:t xml:space="preserve"> obstacol al continuării studiilor</w:t>
      </w:r>
      <w:r>
        <w:rPr>
          <w:rFonts w:asciiTheme="majorHAnsi" w:hAnsiTheme="majorHAnsi"/>
          <w:lang w:val="ro-RO"/>
        </w:rPr>
        <w:t xml:space="preserve"> îl reprezintă, în percepția tinerilor, c</w:t>
      </w:r>
      <w:r w:rsidRPr="006610E7">
        <w:rPr>
          <w:rFonts w:asciiTheme="majorHAnsi" w:hAnsiTheme="majorHAnsi"/>
          <w:lang w:val="ro-RO"/>
        </w:rPr>
        <w:t xml:space="preserve">heltuielile prea mari cu școlarizarea (54%), urmat de </w:t>
      </w:r>
      <w:r>
        <w:rPr>
          <w:rFonts w:asciiTheme="majorHAnsi" w:hAnsiTheme="majorHAnsi"/>
          <w:lang w:val="ro-RO"/>
        </w:rPr>
        <w:t>lipsa</w:t>
      </w:r>
      <w:r w:rsidRPr="006610E7">
        <w:rPr>
          <w:rFonts w:asciiTheme="majorHAnsi" w:hAnsiTheme="majorHAnsi"/>
          <w:lang w:val="ro-RO"/>
        </w:rPr>
        <w:t xml:space="preserve"> de apreciere a educaţiei de că</w:t>
      </w:r>
      <w:r>
        <w:rPr>
          <w:rFonts w:asciiTheme="majorHAnsi" w:hAnsiTheme="majorHAnsi"/>
          <w:lang w:val="ro-RO"/>
        </w:rPr>
        <w:t>tre tineri (17%), 1 tânăr</w:t>
      </w:r>
      <w:r w:rsidRPr="006610E7">
        <w:rPr>
          <w:rFonts w:asciiTheme="majorHAnsi" w:hAnsiTheme="majorHAnsi"/>
          <w:lang w:val="ro-RO"/>
        </w:rPr>
        <w:t xml:space="preserve"> </w:t>
      </w:r>
      <w:r>
        <w:rPr>
          <w:rFonts w:asciiTheme="majorHAnsi" w:hAnsiTheme="majorHAnsi"/>
          <w:lang w:val="ro-RO"/>
        </w:rPr>
        <w:lastRenderedPageBreak/>
        <w:t xml:space="preserve">din 10 </w:t>
      </w:r>
      <w:r w:rsidRPr="006610E7">
        <w:rPr>
          <w:rFonts w:asciiTheme="majorHAnsi" w:hAnsiTheme="majorHAnsi"/>
          <w:lang w:val="ro-RO"/>
        </w:rPr>
        <w:t>indicâ</w:t>
      </w:r>
      <w:r>
        <w:rPr>
          <w:rFonts w:asciiTheme="majorHAnsi" w:hAnsiTheme="majorHAnsi"/>
          <w:lang w:val="ro-RO"/>
        </w:rPr>
        <w:t xml:space="preserve">nd ca </w:t>
      </w:r>
      <w:r w:rsidRPr="006610E7">
        <w:rPr>
          <w:rFonts w:asciiTheme="majorHAnsi" w:hAnsiTheme="majorHAnsi"/>
          <w:lang w:val="ro-RO"/>
        </w:rPr>
        <w:t xml:space="preserve">obstacole lipsa de susţinere din partea familiei și faptul că tinerii sunt nevoiţi să-şi câştige </w:t>
      </w:r>
      <w:r>
        <w:rPr>
          <w:rFonts w:asciiTheme="majorHAnsi" w:hAnsiTheme="majorHAnsi"/>
          <w:lang w:val="ro-RO"/>
        </w:rPr>
        <w:t>existența și să muncească.</w:t>
      </w:r>
      <w:r>
        <w:rPr>
          <w:rStyle w:val="FootnoteReference"/>
          <w:rFonts w:asciiTheme="majorHAnsi" w:hAnsiTheme="majorHAnsi"/>
          <w:lang w:val="ro-RO"/>
        </w:rPr>
        <w:footnoteReference w:id="28"/>
      </w:r>
    </w:p>
    <w:p w:rsidR="00822FF7" w:rsidRPr="006610E7" w:rsidRDefault="00822FF7" w:rsidP="00822FF7">
      <w:pPr>
        <w:spacing w:after="120"/>
        <w:jc w:val="both"/>
        <w:rPr>
          <w:rFonts w:asciiTheme="majorHAnsi" w:hAnsiTheme="majorHAnsi"/>
          <w:lang w:val="ro-RO"/>
        </w:rPr>
      </w:pPr>
      <w:r>
        <w:rPr>
          <w:rFonts w:asciiTheme="majorHAnsi" w:hAnsiTheme="majorHAnsi"/>
          <w:lang w:val="ro-RO"/>
        </w:rPr>
        <w:t>În anul şcolar 2010/ 2011</w:t>
      </w:r>
      <w:r w:rsidRPr="00FD17A1">
        <w:rPr>
          <w:rFonts w:asciiTheme="majorHAnsi" w:hAnsiTheme="majorHAnsi"/>
          <w:lang w:val="ro-RO"/>
        </w:rPr>
        <w:t>, rata de trecere spre înv</w:t>
      </w:r>
      <w:r>
        <w:rPr>
          <w:rFonts w:asciiTheme="majorHAnsi" w:hAnsiTheme="majorHAnsi"/>
          <w:lang w:val="ro-RO"/>
        </w:rPr>
        <w:t>ăţământul liceal a crescut la 93</w:t>
      </w:r>
      <w:r w:rsidRPr="00FD17A1">
        <w:rPr>
          <w:rFonts w:asciiTheme="majorHAnsi" w:hAnsiTheme="majorHAnsi"/>
          <w:lang w:val="ro-RO"/>
        </w:rPr>
        <w:t>% faţă de 67,8%</w:t>
      </w:r>
      <w:r>
        <w:rPr>
          <w:rFonts w:asciiTheme="majorHAnsi" w:hAnsiTheme="majorHAnsi"/>
          <w:lang w:val="ro-RO"/>
        </w:rPr>
        <w:t xml:space="preserve"> în 2008/2009 dar este o creștere artificială, ca urmare a desființării Școlilor de Arte și Meserii și preluării de către învățământul liceal a locurilor alocate acestor școli. </w:t>
      </w:r>
      <w:r w:rsidRPr="00FD17A1">
        <w:rPr>
          <w:rFonts w:asciiTheme="majorHAnsi" w:hAnsiTheme="majorHAnsi"/>
          <w:lang w:val="ro-RO"/>
        </w:rPr>
        <w:t>În ultimii 3 ani se constată o scădere abruptă a ratei de promovabilitate a bacalaureatului.</w:t>
      </w:r>
    </w:p>
    <w:p w:rsidR="00822FF7" w:rsidRPr="00850226" w:rsidRDefault="00822FF7" w:rsidP="00822FF7">
      <w:pPr>
        <w:spacing w:after="120"/>
        <w:jc w:val="both"/>
        <w:rPr>
          <w:rFonts w:asciiTheme="majorHAnsi" w:hAnsiTheme="majorHAnsi"/>
          <w:lang w:val="ro-RO"/>
        </w:rPr>
      </w:pPr>
      <w:r w:rsidRPr="00F41308">
        <w:rPr>
          <w:rFonts w:asciiTheme="majorHAnsi" w:hAnsiTheme="majorHAnsi"/>
          <w:lang w:val="ro-RO"/>
        </w:rPr>
        <w:t>Ponderea absolvenţilor de învăţământ terţiar în totalul populaţiei cu vâr</w:t>
      </w:r>
      <w:r>
        <w:rPr>
          <w:rFonts w:asciiTheme="majorHAnsi" w:hAnsiTheme="majorHAnsi"/>
          <w:lang w:val="ro-RO"/>
        </w:rPr>
        <w:t>ste între 30 şi 34 ani era de 21,8</w:t>
      </w:r>
      <w:r w:rsidRPr="00F41308">
        <w:rPr>
          <w:rFonts w:asciiTheme="majorHAnsi" w:hAnsiTheme="majorHAnsi"/>
          <w:lang w:val="ro-RO"/>
        </w:rPr>
        <w:t>% în 201</w:t>
      </w:r>
      <w:r>
        <w:rPr>
          <w:rFonts w:asciiTheme="majorHAnsi" w:hAnsiTheme="majorHAnsi"/>
          <w:lang w:val="ro-RO"/>
        </w:rPr>
        <w:t>2 mult sub media UE-27 (35.8%)</w:t>
      </w:r>
      <w:r>
        <w:rPr>
          <w:rStyle w:val="FootnoteReference"/>
          <w:rFonts w:asciiTheme="majorHAnsi" w:hAnsiTheme="majorHAnsi"/>
          <w:lang w:val="ro-RO"/>
        </w:rPr>
        <w:footnoteReference w:id="29"/>
      </w:r>
      <w:r>
        <w:rPr>
          <w:rFonts w:asciiTheme="majorHAnsi" w:hAnsiTheme="majorHAnsi"/>
          <w:lang w:val="ro-RO"/>
        </w:rPr>
        <w:t xml:space="preserve">; </w:t>
      </w:r>
      <w:r w:rsidRPr="00F41308">
        <w:rPr>
          <w:rFonts w:asciiTheme="majorHAnsi" w:hAnsiTheme="majorHAnsi"/>
          <w:lang w:val="ro-RO"/>
        </w:rPr>
        <w:t>ţinta asumată de România în contextul Strategiei Europa 2020</w:t>
      </w:r>
      <w:r>
        <w:rPr>
          <w:rFonts w:asciiTheme="majorHAnsi" w:hAnsiTheme="majorHAnsi"/>
          <w:lang w:val="ro-RO"/>
        </w:rPr>
        <w:t xml:space="preserve"> este de 26,7%</w:t>
      </w:r>
      <w:r w:rsidRPr="00F41308">
        <w:rPr>
          <w:rFonts w:asciiTheme="majorHAnsi" w:hAnsiTheme="majorHAnsi"/>
          <w:lang w:val="ro-RO"/>
        </w:rPr>
        <w:t xml:space="preserve">. </w:t>
      </w:r>
      <w:r>
        <w:rPr>
          <w:rFonts w:asciiTheme="majorHAnsi" w:hAnsiTheme="majorHAnsi"/>
          <w:lang w:val="ro-RO"/>
        </w:rPr>
        <w:t>A</w:t>
      </w:r>
      <w:r w:rsidRPr="00F41308">
        <w:rPr>
          <w:rFonts w:asciiTheme="majorHAnsi" w:hAnsiTheme="majorHAnsi"/>
          <w:lang w:val="ro-RO"/>
        </w:rPr>
        <w:t xml:space="preserve"> avut loc o creștere de la 13,3% în 2007, puţin probabil să poată fi menţinută având în vedere scăderea ratei de cuprindere în învăţământul superior. </w:t>
      </w:r>
      <w:r w:rsidRPr="00850226">
        <w:rPr>
          <w:rFonts w:asciiTheme="majorHAnsi" w:hAnsiTheme="majorHAnsi"/>
          <w:lang w:val="ro-RO"/>
        </w:rPr>
        <w:t>De asemenea, pentru grupa de vârstă 25-29 ani se înregistrează o valoare mai scăzută comparativ cu media europeană de absolvire a învăţământului secundar superior și superior.</w:t>
      </w:r>
    </w:p>
    <w:p w:rsidR="00822FF7" w:rsidRPr="00E533AE" w:rsidRDefault="00822FF7" w:rsidP="00822FF7">
      <w:pPr>
        <w:spacing w:after="120"/>
        <w:jc w:val="both"/>
        <w:rPr>
          <w:rFonts w:asciiTheme="majorHAnsi" w:hAnsiTheme="majorHAnsi"/>
          <w:lang w:val="ro-RO"/>
        </w:rPr>
      </w:pPr>
      <w:r w:rsidRPr="00E533AE">
        <w:rPr>
          <w:rFonts w:asciiTheme="majorHAnsi" w:hAnsiTheme="majorHAnsi"/>
          <w:lang w:val="ro-RO"/>
        </w:rPr>
        <w:t>Rezultatele obţinute la testele standard PISA situează România printre ţările cu performanţe scăzute în cele trei dom</w:t>
      </w:r>
      <w:r>
        <w:rPr>
          <w:rFonts w:asciiTheme="majorHAnsi" w:hAnsiTheme="majorHAnsi"/>
          <w:lang w:val="ro-RO"/>
        </w:rPr>
        <w:t>enii de analiză: citire/lectură</w:t>
      </w:r>
      <w:r w:rsidRPr="00E533AE">
        <w:rPr>
          <w:rFonts w:asciiTheme="majorHAnsi" w:hAnsiTheme="majorHAnsi"/>
          <w:lang w:val="ro-RO"/>
        </w:rPr>
        <w:t xml:space="preserve"> matematică; ştiinţe, situaţie evidenţiată și de EU Youth Report (România se află pe unul dintre locurile 47-49, în funcţie de tipul de competenţă, din 65 de ţări participante).</w:t>
      </w:r>
      <w:r w:rsidRPr="00FF6AB9">
        <w:rPr>
          <w:rStyle w:val="FootnoteReference"/>
          <w:noProof/>
          <w:lang w:val="ro-RO"/>
        </w:rPr>
        <w:footnoteReference w:id="30"/>
      </w:r>
    </w:p>
    <w:p w:rsidR="00822FF7" w:rsidRDefault="00822FF7" w:rsidP="00822FF7">
      <w:pPr>
        <w:spacing w:after="120"/>
        <w:jc w:val="both"/>
        <w:rPr>
          <w:rFonts w:asciiTheme="majorHAnsi" w:hAnsiTheme="majorHAnsi"/>
          <w:lang w:val="ro-RO"/>
        </w:rPr>
      </w:pPr>
      <w:bookmarkStart w:id="42" w:name="_Toc239222854"/>
      <w:r w:rsidRPr="00453154">
        <w:rPr>
          <w:rFonts w:asciiTheme="majorHAnsi" w:hAnsiTheme="majorHAnsi"/>
          <w:lang w:val="ro-RO"/>
        </w:rPr>
        <w:t>Tinerii estimează că cele mai problematice aspecte ale sistemului de învăţământ sunt insuficienţa aplicaţiilor practice (69% ) și insuficienţa sau absenţa activităţilor derulate în afara școlii (67%).</w:t>
      </w:r>
      <w:r>
        <w:rPr>
          <w:rStyle w:val="FootnoteReference"/>
          <w:rFonts w:asciiTheme="majorHAnsi" w:hAnsiTheme="majorHAnsi"/>
          <w:lang w:val="ro-RO"/>
        </w:rPr>
        <w:footnoteReference w:id="31"/>
      </w:r>
      <w:r w:rsidRPr="00453154">
        <w:rPr>
          <w:rFonts w:asciiTheme="majorHAnsi" w:hAnsiTheme="majorHAnsi"/>
          <w:lang w:val="ro-RO"/>
        </w:rPr>
        <w:t xml:space="preserve"> </w:t>
      </w:r>
    </w:p>
    <w:p w:rsidR="00822FF7" w:rsidRPr="00B91A33" w:rsidRDefault="00822FF7" w:rsidP="00822FF7">
      <w:pPr>
        <w:spacing w:after="120"/>
        <w:jc w:val="both"/>
        <w:rPr>
          <w:rFonts w:asciiTheme="majorHAnsi" w:hAnsiTheme="majorHAnsi"/>
          <w:lang w:val="ro-RO"/>
        </w:rPr>
      </w:pPr>
    </w:p>
    <w:p w:rsidR="00822FF7" w:rsidRDefault="00822FF7" w:rsidP="00822FF7">
      <w:pPr>
        <w:pStyle w:val="Heading3"/>
        <w:spacing w:after="120"/>
        <w:rPr>
          <w:lang w:val="ro-RO"/>
        </w:rPr>
      </w:pPr>
      <w:bookmarkStart w:id="43" w:name="_Toc239222853"/>
      <w:bookmarkStart w:id="44" w:name="_Toc243570849"/>
      <w:bookmarkStart w:id="45" w:name="_Toc370211858"/>
      <w:bookmarkEnd w:id="42"/>
      <w:r w:rsidRPr="0002274F">
        <w:rPr>
          <w:lang w:val="ro-RO"/>
        </w:rPr>
        <w:t xml:space="preserve">Tranziţia de la </w:t>
      </w:r>
      <w:r>
        <w:rPr>
          <w:lang w:val="ro-RO"/>
        </w:rPr>
        <w:t>educa</w:t>
      </w:r>
      <w:r>
        <w:rPr>
          <w:rFonts w:ascii="Marker Felt" w:hAnsi="Marker Felt" w:cs="Marker Felt"/>
          <w:lang w:val="ro-RO"/>
        </w:rPr>
        <w:t>ț</w:t>
      </w:r>
      <w:r>
        <w:rPr>
          <w:lang w:val="ro-RO"/>
        </w:rPr>
        <w:t>ie</w:t>
      </w:r>
      <w:r w:rsidRPr="0002274F">
        <w:rPr>
          <w:lang w:val="ro-RO"/>
        </w:rPr>
        <w:t xml:space="preserve"> la </w:t>
      </w:r>
      <w:r>
        <w:rPr>
          <w:lang w:val="ro-RO"/>
        </w:rPr>
        <w:t xml:space="preserve">ocupare </w:t>
      </w:r>
      <w:r w:rsidRPr="0002274F">
        <w:rPr>
          <w:lang w:val="ro-RO"/>
        </w:rPr>
        <w:t>și corelarea dintre sisteme</w:t>
      </w:r>
      <w:bookmarkEnd w:id="43"/>
      <w:bookmarkEnd w:id="44"/>
      <w:bookmarkEnd w:id="45"/>
    </w:p>
    <w:p w:rsidR="00822FF7" w:rsidRPr="00822FF7" w:rsidRDefault="00822FF7" w:rsidP="00822FF7"/>
    <w:p w:rsidR="00822FF7" w:rsidRPr="00FF6AB9" w:rsidRDefault="00822FF7" w:rsidP="00822FF7">
      <w:pPr>
        <w:spacing w:after="120"/>
        <w:jc w:val="both"/>
        <w:rPr>
          <w:lang w:val="ro-RO"/>
        </w:rPr>
      </w:pPr>
      <w:r w:rsidRPr="00B91A33">
        <w:rPr>
          <w:rFonts w:asciiTheme="majorHAnsi" w:hAnsiTheme="majorHAnsi"/>
          <w:lang w:val="ro-RO"/>
        </w:rPr>
        <w:t>Un raport recent al Comisiei Europene</w:t>
      </w:r>
      <w:r w:rsidRPr="00FF6AB9">
        <w:rPr>
          <w:rStyle w:val="FootnoteReference"/>
          <w:lang w:val="ro-RO"/>
        </w:rPr>
        <w:footnoteReference w:id="32"/>
      </w:r>
      <w:r w:rsidRPr="00FF6AB9">
        <w:rPr>
          <w:lang w:val="ro-RO"/>
        </w:rPr>
        <w:t xml:space="preserve"> </w:t>
      </w:r>
      <w:r w:rsidRPr="00B91A33">
        <w:rPr>
          <w:rFonts w:asciiTheme="majorHAnsi" w:hAnsiTheme="majorHAnsi"/>
          <w:lang w:val="ro-RO"/>
        </w:rPr>
        <w:t xml:space="preserve">arată că în România există o corelare bună a sistemului educaţional cu piaţa muncii la nivel vertical, în sensul în care se înregistrează ponderi scăzute comparativ cu ţările europene ale angajaţilor supracalificaţi sau subcalificaţi în raport cu cerinţele locului de muncă, dar se înregistrează cea mai scăzută corelare orizontală, </w:t>
      </w:r>
      <w:r>
        <w:rPr>
          <w:rFonts w:asciiTheme="majorHAnsi" w:hAnsiTheme="majorHAnsi"/>
          <w:lang w:val="ro-RO"/>
        </w:rPr>
        <w:t>respectiv o pondere ridicată</w:t>
      </w:r>
      <w:r w:rsidRPr="00B91A33">
        <w:rPr>
          <w:rFonts w:asciiTheme="majorHAnsi" w:hAnsiTheme="majorHAnsi"/>
          <w:lang w:val="ro-RO"/>
        </w:rPr>
        <w:t xml:space="preserve"> de absolvenţi care lucrează în alte domenii decât cele pentru care s-au pregătit.</w:t>
      </w:r>
    </w:p>
    <w:p w:rsidR="00822FF7" w:rsidRPr="00FB2B1C" w:rsidRDefault="00822FF7" w:rsidP="00822FF7">
      <w:pPr>
        <w:spacing w:after="120"/>
        <w:jc w:val="both"/>
        <w:rPr>
          <w:rFonts w:asciiTheme="majorHAnsi" w:hAnsiTheme="majorHAnsi"/>
          <w:lang w:val="ro-RO"/>
        </w:rPr>
      </w:pPr>
      <w:r w:rsidRPr="00B91A33">
        <w:rPr>
          <w:rFonts w:asciiTheme="majorHAnsi" w:hAnsiTheme="majorHAnsi"/>
          <w:lang w:val="ro-RO"/>
        </w:rPr>
        <w:t>Conform ţintelor asumate de România până în anul 2020, procentul de angajaţi cu vârste în 20 şi 34 de ani absolvenţi în ultimii trei ani ai sistemului de educaţie  şi formare profesională  ar trebui să fie de cel puţin 82%. Cele mai recente date statistice disponibile pentru anul 2011 indică un procent de 70,1%</w:t>
      </w:r>
      <w:r w:rsidRPr="00FF6AB9">
        <w:rPr>
          <w:rStyle w:val="FootnoteReference"/>
          <w:lang w:val="ro-RO"/>
        </w:rPr>
        <w:footnoteReference w:id="33"/>
      </w:r>
      <w:r w:rsidRPr="00FF6AB9">
        <w:rPr>
          <w:lang w:val="ro-RO"/>
        </w:rPr>
        <w:t xml:space="preserve">. </w:t>
      </w:r>
      <w:r w:rsidRPr="00B91A33">
        <w:rPr>
          <w:rFonts w:asciiTheme="majorHAnsi" w:hAnsiTheme="majorHAnsi"/>
          <w:lang w:val="ro-RO"/>
        </w:rPr>
        <w:t xml:space="preserve">Tendinţa înregistrată în ultimii ani este de scădere a numărul de absolvenţi cu vârsta </w:t>
      </w:r>
      <w:r w:rsidRPr="00B91A33">
        <w:rPr>
          <w:rFonts w:asciiTheme="majorHAnsi" w:hAnsiTheme="majorHAnsi"/>
          <w:lang w:val="ro-RO"/>
        </w:rPr>
        <w:lastRenderedPageBreak/>
        <w:t>cuprinsă între 20 şi 34 ani integraţi pe piaţa muncii. Cea mai mare valoare s‐a înregistrat în anul 2008, 84,8%, aceasta continuând apoi să scadă treptat.</w:t>
      </w:r>
    </w:p>
    <w:p w:rsidR="00822FF7" w:rsidRDefault="00822FF7" w:rsidP="00822FF7">
      <w:pPr>
        <w:spacing w:after="120"/>
        <w:jc w:val="both"/>
        <w:rPr>
          <w:rFonts w:asciiTheme="majorHAnsi" w:hAnsiTheme="majorHAnsi"/>
          <w:lang w:val="ro-RO"/>
        </w:rPr>
      </w:pPr>
      <w:r w:rsidRPr="00FB2B1C">
        <w:rPr>
          <w:rFonts w:asciiTheme="majorHAnsi" w:hAnsiTheme="majorHAnsi"/>
          <w:lang w:val="ro-RO"/>
        </w:rPr>
        <w:t>Datele BOPT-2012 indică faptul că pe ansamblul populaţiei de tineri doar 18% consideră că școala răspunde nevoilor pieţei muncii.</w:t>
      </w:r>
    </w:p>
    <w:p w:rsidR="00822FF7" w:rsidRPr="006610E7" w:rsidRDefault="00822FF7" w:rsidP="00822FF7">
      <w:pPr>
        <w:spacing w:after="120"/>
        <w:jc w:val="both"/>
        <w:rPr>
          <w:rFonts w:asciiTheme="majorHAnsi" w:hAnsiTheme="majorHAnsi"/>
          <w:lang w:val="ro-RO"/>
        </w:rPr>
      </w:pPr>
    </w:p>
    <w:p w:rsidR="00822FF7" w:rsidRDefault="00822FF7" w:rsidP="00822FF7">
      <w:pPr>
        <w:pStyle w:val="Heading3"/>
        <w:spacing w:after="120"/>
        <w:rPr>
          <w:lang w:val="ro-RO"/>
        </w:rPr>
      </w:pPr>
      <w:bookmarkStart w:id="46" w:name="_Toc370211859"/>
      <w:r w:rsidRPr="0002274F">
        <w:rPr>
          <w:lang w:val="ro-RO"/>
        </w:rPr>
        <w:t>Educaţia non</w:t>
      </w:r>
      <w:r>
        <w:rPr>
          <w:lang w:val="ro-RO"/>
        </w:rPr>
        <w:t>-</w:t>
      </w:r>
      <w:r w:rsidRPr="0002274F">
        <w:rPr>
          <w:lang w:val="ro-RO"/>
        </w:rPr>
        <w:t>formală și participarea la educaţie pe tot parcursul vieţii</w:t>
      </w:r>
      <w:bookmarkEnd w:id="46"/>
    </w:p>
    <w:p w:rsidR="00822FF7" w:rsidRPr="00DB1CA8" w:rsidRDefault="00822FF7" w:rsidP="00822FF7">
      <w:pPr>
        <w:spacing w:after="120"/>
        <w:jc w:val="both"/>
        <w:rPr>
          <w:rFonts w:asciiTheme="majorHAnsi" w:hAnsiTheme="majorHAnsi"/>
          <w:lang w:val="ro-RO"/>
        </w:rPr>
      </w:pPr>
      <w:r w:rsidRPr="00DB1CA8">
        <w:rPr>
          <w:rFonts w:asciiTheme="majorHAnsi" w:hAnsiTheme="majorHAnsi"/>
          <w:lang w:val="ro-RO"/>
        </w:rPr>
        <w:t xml:space="preserve">În 2011, doar 1,6% din totalul populaţiei active </w:t>
      </w:r>
      <w:r>
        <w:rPr>
          <w:rFonts w:asciiTheme="majorHAnsi" w:hAnsiTheme="majorHAnsi"/>
          <w:lang w:val="ro-RO"/>
        </w:rPr>
        <w:t>a participat</w:t>
      </w:r>
      <w:r w:rsidRPr="00DB1CA8">
        <w:rPr>
          <w:rFonts w:asciiTheme="majorHAnsi" w:hAnsiTheme="majorHAnsi"/>
          <w:lang w:val="ro-RO"/>
        </w:rPr>
        <w:t xml:space="preserve"> la programele de învăţare pe tot parcursul vieţii faţă de 8,9% în UE-27. </w:t>
      </w:r>
    </w:p>
    <w:p w:rsidR="00822FF7" w:rsidRDefault="00822FF7" w:rsidP="00822FF7">
      <w:pPr>
        <w:spacing w:after="120"/>
        <w:jc w:val="both"/>
        <w:rPr>
          <w:rFonts w:asciiTheme="majorHAnsi" w:hAnsiTheme="majorHAnsi"/>
          <w:lang w:val="ro-RO"/>
        </w:rPr>
      </w:pPr>
      <w:r w:rsidRPr="00DB1CA8">
        <w:rPr>
          <w:rFonts w:asciiTheme="majorHAnsi" w:hAnsiTheme="majorHAnsi"/>
          <w:lang w:val="ro-RO"/>
        </w:rPr>
        <w:t>În România, conceptul de educaţie continuă nu este încă asimilat</w:t>
      </w:r>
      <w:r>
        <w:rPr>
          <w:rFonts w:asciiTheme="majorHAnsi" w:hAnsiTheme="majorHAnsi"/>
          <w:lang w:val="ro-RO"/>
        </w:rPr>
        <w:t>.</w:t>
      </w:r>
      <w:r w:rsidRPr="00DB1CA8">
        <w:rPr>
          <w:rFonts w:asciiTheme="majorHAnsi" w:hAnsiTheme="majorHAnsi"/>
          <w:lang w:val="ro-RO"/>
        </w:rPr>
        <w:t xml:space="preserve"> În 2011, media UE-27 de participare la educaţie pentru intervalul de vârstă 25-34 e</w:t>
      </w:r>
      <w:r>
        <w:rPr>
          <w:rFonts w:asciiTheme="majorHAnsi" w:hAnsiTheme="majorHAnsi"/>
          <w:lang w:val="ro-RO"/>
        </w:rPr>
        <w:t>ra</w:t>
      </w:r>
      <w:r w:rsidRPr="00DB1CA8">
        <w:rPr>
          <w:rFonts w:asciiTheme="majorHAnsi" w:hAnsiTheme="majorHAnsi"/>
          <w:lang w:val="ro-RO"/>
        </w:rPr>
        <w:t xml:space="preserve"> de 15% în timp ce în România e</w:t>
      </w:r>
      <w:r>
        <w:rPr>
          <w:rFonts w:asciiTheme="majorHAnsi" w:hAnsiTheme="majorHAnsi"/>
          <w:lang w:val="ro-RO"/>
        </w:rPr>
        <w:t>ra</w:t>
      </w:r>
      <w:r w:rsidRPr="00DB1CA8">
        <w:rPr>
          <w:rFonts w:asciiTheme="majorHAnsi" w:hAnsiTheme="majorHAnsi"/>
          <w:lang w:val="ro-RO"/>
        </w:rPr>
        <w:t xml:space="preserve"> 4,1%. Procentul angajaţilor tinerilor cu vârste între 15  şi 24 de ani care participau la o formă de educaţie formală sau nonformală a fost în 2011 de 2,1%, mai mic cu 11,4 puncte procentuale decât media europeană</w:t>
      </w:r>
      <w:r>
        <w:rPr>
          <w:rFonts w:asciiTheme="majorHAnsi" w:hAnsiTheme="majorHAnsi"/>
          <w:lang w:val="ro-RO"/>
        </w:rPr>
        <w:t xml:space="preserve">. </w:t>
      </w:r>
      <w:r w:rsidRPr="00927494">
        <w:rPr>
          <w:rFonts w:asciiTheme="majorHAnsi" w:hAnsiTheme="majorHAnsi"/>
          <w:lang w:val="ro-RO"/>
        </w:rPr>
        <w:t xml:space="preserve">În mediul rural, </w:t>
      </w:r>
      <w:r>
        <w:rPr>
          <w:rFonts w:asciiTheme="majorHAnsi" w:hAnsiTheme="majorHAnsi"/>
          <w:lang w:val="ro-RO"/>
        </w:rPr>
        <w:t>există un deficit de</w:t>
      </w:r>
      <w:r w:rsidRPr="00927494">
        <w:rPr>
          <w:rFonts w:asciiTheme="majorHAnsi" w:hAnsiTheme="majorHAnsi"/>
          <w:lang w:val="ro-RO"/>
        </w:rPr>
        <w:t xml:space="preserve"> prestator</w:t>
      </w:r>
      <w:r>
        <w:rPr>
          <w:rFonts w:asciiTheme="majorHAnsi" w:hAnsiTheme="majorHAnsi"/>
          <w:lang w:val="ro-RO"/>
        </w:rPr>
        <w:t>i</w:t>
      </w:r>
      <w:r w:rsidRPr="00927494">
        <w:rPr>
          <w:rFonts w:asciiTheme="majorHAnsi" w:hAnsiTheme="majorHAnsi"/>
          <w:lang w:val="ro-RO"/>
        </w:rPr>
        <w:t xml:space="preserve"> de programe vocaţionale</w:t>
      </w:r>
      <w:r>
        <w:rPr>
          <w:rFonts w:asciiTheme="majorHAnsi" w:hAnsiTheme="majorHAnsi"/>
          <w:lang w:val="ro-RO"/>
        </w:rPr>
        <w:t>, proiectele</w:t>
      </w:r>
      <w:r w:rsidRPr="00927494">
        <w:rPr>
          <w:rFonts w:asciiTheme="majorHAnsi" w:hAnsiTheme="majorHAnsi"/>
          <w:lang w:val="ro-RO"/>
        </w:rPr>
        <w:t xml:space="preserve"> POS DRU punctuale </w:t>
      </w:r>
      <w:r>
        <w:rPr>
          <w:rFonts w:asciiTheme="majorHAnsi" w:hAnsiTheme="majorHAnsi"/>
          <w:lang w:val="ro-RO"/>
        </w:rPr>
        <w:t>fiind printre puținele oportunități în acest sens.</w:t>
      </w:r>
    </w:p>
    <w:p w:rsidR="00822FF7" w:rsidRDefault="00822FF7" w:rsidP="00822FF7">
      <w:pPr>
        <w:spacing w:after="120"/>
        <w:jc w:val="both"/>
        <w:rPr>
          <w:lang w:val="ro-RO"/>
        </w:rPr>
      </w:pPr>
      <w:r w:rsidRPr="00927494">
        <w:rPr>
          <w:rFonts w:asciiTheme="majorHAnsi" w:hAnsiTheme="majorHAnsi"/>
          <w:lang w:val="ro-RO"/>
        </w:rPr>
        <w:t xml:space="preserve">Doar 10% dintre tinerii români au efectuat stagii de pregătire educaţională formală sau non-formală în afara graniţelor ţării, un procent scăzut în context european, media fiind de 14%, în </w:t>
      </w:r>
      <w:r>
        <w:rPr>
          <w:rFonts w:asciiTheme="majorHAnsi" w:hAnsiTheme="majorHAnsi"/>
          <w:lang w:val="ro-RO"/>
        </w:rPr>
        <w:t xml:space="preserve">timp ce în </w:t>
      </w:r>
      <w:r w:rsidRPr="00927494">
        <w:rPr>
          <w:rFonts w:asciiTheme="majorHAnsi" w:hAnsiTheme="majorHAnsi"/>
          <w:lang w:val="ro-RO"/>
        </w:rPr>
        <w:t xml:space="preserve">10 ţări </w:t>
      </w:r>
      <w:r>
        <w:rPr>
          <w:rFonts w:asciiTheme="majorHAnsi" w:hAnsiTheme="majorHAnsi"/>
          <w:lang w:val="ro-RO"/>
        </w:rPr>
        <w:t xml:space="preserve">UE se </w:t>
      </w:r>
      <w:r w:rsidRPr="00927494">
        <w:rPr>
          <w:rFonts w:asciiTheme="majorHAnsi" w:hAnsiTheme="majorHAnsi"/>
          <w:lang w:val="ro-RO"/>
        </w:rPr>
        <w:t>înregistr</w:t>
      </w:r>
      <w:r>
        <w:rPr>
          <w:rFonts w:asciiTheme="majorHAnsi" w:hAnsiTheme="majorHAnsi"/>
          <w:lang w:val="ro-RO"/>
        </w:rPr>
        <w:t>ează</w:t>
      </w:r>
      <w:r w:rsidRPr="00927494">
        <w:rPr>
          <w:rFonts w:asciiTheme="majorHAnsi" w:hAnsiTheme="majorHAnsi"/>
          <w:lang w:val="ro-RO"/>
        </w:rPr>
        <w:t xml:space="preserve"> valori peste 20%</w:t>
      </w:r>
      <w:r w:rsidRPr="00FF6AB9">
        <w:rPr>
          <w:rStyle w:val="FootnoteReference"/>
          <w:lang w:val="ro-RO"/>
        </w:rPr>
        <w:footnoteReference w:id="34"/>
      </w:r>
      <w:r>
        <w:rPr>
          <w:lang w:val="ro-RO"/>
        </w:rPr>
        <w:t xml:space="preserve">. </w:t>
      </w:r>
      <w:r w:rsidRPr="00927494">
        <w:rPr>
          <w:rFonts w:asciiTheme="majorHAnsi" w:hAnsiTheme="majorHAnsi"/>
          <w:lang w:val="ro-RO"/>
        </w:rPr>
        <w:t>Doar 1 din 5 întreprinderi economice asigurau instruire pentru personalul lor în 2011, cu aproximativ 10% mai puţin decât în 2005</w:t>
      </w:r>
      <w:r w:rsidRPr="00FF6AB9">
        <w:rPr>
          <w:rStyle w:val="FootnoteReference"/>
          <w:lang w:val="ro-RO"/>
        </w:rPr>
        <w:footnoteReference w:id="35"/>
      </w:r>
      <w:r w:rsidRPr="00FF6AB9">
        <w:rPr>
          <w:lang w:val="ro-RO"/>
        </w:rPr>
        <w:t xml:space="preserve">. </w:t>
      </w:r>
    </w:p>
    <w:p w:rsidR="00822FF7" w:rsidRPr="000E6266" w:rsidRDefault="00822FF7" w:rsidP="00822FF7">
      <w:pPr>
        <w:pStyle w:val="Heading3"/>
        <w:spacing w:after="120"/>
        <w:rPr>
          <w:lang w:val="ro-RO"/>
        </w:rPr>
      </w:pPr>
      <w:bookmarkStart w:id="47" w:name="_Toc370211860"/>
      <w:r w:rsidRPr="000E6266">
        <w:rPr>
          <w:lang w:val="ro-RO"/>
        </w:rPr>
        <w:t>Tinerii și utilizarea TIC</w:t>
      </w:r>
      <w:bookmarkEnd w:id="47"/>
    </w:p>
    <w:p w:rsidR="00822FF7" w:rsidRDefault="00822FF7" w:rsidP="00822FF7">
      <w:pPr>
        <w:widowControl w:val="0"/>
        <w:autoSpaceDE w:val="0"/>
        <w:autoSpaceDN w:val="0"/>
        <w:adjustRightInd w:val="0"/>
        <w:spacing w:after="120"/>
        <w:jc w:val="both"/>
        <w:rPr>
          <w:noProof/>
          <w:lang w:val="ro-RO"/>
        </w:rPr>
      </w:pPr>
      <w:r w:rsidRPr="00E40F7B">
        <w:rPr>
          <w:rFonts w:asciiTheme="majorHAnsi" w:hAnsiTheme="majorHAnsi"/>
          <w:lang w:val="ro-RO"/>
        </w:rPr>
        <w:t>Aproximativ 80% dintre tinerii europeni între 15 și 24 de ani utilizează computerul și internetul în fiecare zi. Româ</w:t>
      </w:r>
      <w:r>
        <w:rPr>
          <w:rFonts w:asciiTheme="majorHAnsi" w:hAnsiTheme="majorHAnsi"/>
          <w:lang w:val="ro-RO"/>
        </w:rPr>
        <w:t xml:space="preserve">nia este </w:t>
      </w:r>
      <w:r w:rsidRPr="00E40F7B">
        <w:rPr>
          <w:rFonts w:asciiTheme="majorHAnsi" w:hAnsiTheme="majorHAnsi"/>
          <w:lang w:val="ro-RO"/>
        </w:rPr>
        <w:t>printre ţările care înregistrează niveluri scăzute și pe acest indicator, alături de Bulgaria, Irlanda și Grecia, cu ponderi mai scăzute de 50%</w:t>
      </w:r>
      <w:r>
        <w:rPr>
          <w:rStyle w:val="FootnoteReference"/>
          <w:rFonts w:asciiTheme="majorHAnsi" w:hAnsiTheme="majorHAnsi"/>
          <w:lang w:val="ro-RO"/>
        </w:rPr>
        <w:footnoteReference w:id="36"/>
      </w:r>
      <w:r w:rsidRPr="00E40F7B">
        <w:rPr>
          <w:rFonts w:asciiTheme="majorHAnsi" w:hAnsiTheme="majorHAnsi"/>
          <w:lang w:val="ro-RO"/>
        </w:rPr>
        <w:t xml:space="preserve">. </w:t>
      </w:r>
    </w:p>
    <w:p w:rsidR="00822FF7" w:rsidRPr="00B07092" w:rsidRDefault="00822FF7" w:rsidP="00822FF7">
      <w:pPr>
        <w:pStyle w:val="Heading3"/>
        <w:spacing w:after="120"/>
        <w:rPr>
          <w:rFonts w:cs="Times New Roman"/>
          <w:lang w:val="ro-RO"/>
        </w:rPr>
      </w:pPr>
      <w:bookmarkStart w:id="48" w:name="_Toc239222855"/>
      <w:bookmarkStart w:id="49" w:name="_Toc243570850"/>
      <w:bookmarkStart w:id="50" w:name="_Toc370211861"/>
      <w:r w:rsidRPr="0002274F">
        <w:rPr>
          <w:lang w:val="ro-RO"/>
        </w:rPr>
        <w:t>Cultură</w:t>
      </w:r>
      <w:bookmarkEnd w:id="48"/>
      <w:bookmarkEnd w:id="49"/>
      <w:bookmarkEnd w:id="50"/>
    </w:p>
    <w:p w:rsidR="00822FF7" w:rsidRPr="00B07092" w:rsidRDefault="00822FF7" w:rsidP="00822FF7">
      <w:pPr>
        <w:widowControl w:val="0"/>
        <w:autoSpaceDE w:val="0"/>
        <w:autoSpaceDN w:val="0"/>
        <w:adjustRightInd w:val="0"/>
        <w:spacing w:after="120"/>
        <w:jc w:val="both"/>
        <w:rPr>
          <w:rFonts w:asciiTheme="majorHAnsi" w:hAnsiTheme="majorHAnsi"/>
          <w:lang w:val="ro-RO"/>
        </w:rPr>
      </w:pPr>
      <w:r w:rsidRPr="00B07092">
        <w:rPr>
          <w:rFonts w:asciiTheme="majorHAnsi" w:hAnsiTheme="majorHAnsi"/>
          <w:lang w:val="ro-RO"/>
        </w:rPr>
        <w:t>Toate datele cercetărilor comparative pe grupe de vârstă indică faptul că tinerii se implică într-o măsură mai ridicată în diferitele forme de activităţi culturale</w:t>
      </w:r>
      <w:r w:rsidRPr="00B07092">
        <w:rPr>
          <w:rStyle w:val="FootnoteReference"/>
          <w:lang w:val="ro-RO"/>
        </w:rPr>
        <w:footnoteReference w:id="37"/>
      </w:r>
      <w:r>
        <w:rPr>
          <w:rFonts w:asciiTheme="majorHAnsi" w:hAnsiTheme="majorHAnsi"/>
          <w:lang w:val="ro-RO"/>
        </w:rPr>
        <w:t>. C</w:t>
      </w:r>
      <w:r w:rsidRPr="00B07092">
        <w:rPr>
          <w:rFonts w:asciiTheme="majorHAnsi" w:hAnsiTheme="majorHAnsi"/>
          <w:lang w:val="ro-RO"/>
        </w:rPr>
        <w:t xml:space="preserve">u toate acestea, participarea tinerilor </w:t>
      </w:r>
      <w:r>
        <w:rPr>
          <w:rFonts w:asciiTheme="majorHAnsi" w:hAnsiTheme="majorHAnsi"/>
          <w:lang w:val="ro-RO"/>
        </w:rPr>
        <w:t xml:space="preserve">români </w:t>
      </w:r>
      <w:r w:rsidRPr="00B07092">
        <w:rPr>
          <w:rFonts w:asciiTheme="majorHAnsi" w:hAnsiTheme="majorHAnsi"/>
          <w:lang w:val="ro-RO"/>
        </w:rPr>
        <w:t>la activităţi culturale nu poate fi considerat ridicată ș</w:t>
      </w:r>
      <w:r>
        <w:rPr>
          <w:rFonts w:asciiTheme="majorHAnsi" w:hAnsiTheme="majorHAnsi"/>
          <w:lang w:val="ro-RO"/>
        </w:rPr>
        <w:t>i este mai degrabă ocazională. U</w:t>
      </w:r>
      <w:r w:rsidRPr="00B07092">
        <w:rPr>
          <w:rFonts w:asciiTheme="majorHAnsi" w:hAnsiTheme="majorHAnsi"/>
          <w:lang w:val="ro-RO"/>
        </w:rPr>
        <w:t>n sfert dintre tineri spun că nu citesc literatură niciodată; 8% fac acest lucru zilnic, 20% de 2-3 ori pe săptămână, 24% de 2-3 ori pe lună, în timp ce 20% nu citesc literatură decât de 2-3 ori pe an</w:t>
      </w:r>
      <w:r>
        <w:rPr>
          <w:rStyle w:val="FootnoteReference"/>
          <w:rFonts w:asciiTheme="majorHAnsi" w:hAnsiTheme="majorHAnsi"/>
          <w:lang w:val="ro-RO"/>
        </w:rPr>
        <w:footnoteReference w:id="38"/>
      </w:r>
      <w:r w:rsidRPr="00B07092">
        <w:rPr>
          <w:rFonts w:asciiTheme="majorHAnsi" w:hAnsiTheme="majorHAnsi"/>
          <w:lang w:val="ro-RO"/>
        </w:rPr>
        <w:t xml:space="preserve">. </w:t>
      </w:r>
    </w:p>
    <w:p w:rsidR="00822FF7" w:rsidRPr="00B07092" w:rsidRDefault="00822FF7" w:rsidP="00822FF7">
      <w:pPr>
        <w:widowControl w:val="0"/>
        <w:autoSpaceDE w:val="0"/>
        <w:autoSpaceDN w:val="0"/>
        <w:adjustRightInd w:val="0"/>
        <w:spacing w:after="120"/>
        <w:jc w:val="both"/>
        <w:rPr>
          <w:rFonts w:asciiTheme="majorHAnsi" w:hAnsiTheme="majorHAnsi"/>
          <w:lang w:val="ro-RO"/>
        </w:rPr>
      </w:pPr>
      <w:r w:rsidRPr="00B07092">
        <w:rPr>
          <w:rFonts w:asciiTheme="majorHAnsi" w:hAnsiTheme="majorHAnsi"/>
          <w:lang w:val="ro-RO"/>
        </w:rPr>
        <w:t xml:space="preserve">61% dintre tineri spun că nu merg deloc la teatru, operă, balet sau concerte de muzică clasică, 49% nu merg la cinematograf, iar 48% nu merg la concerte de muzică modernă. </w:t>
      </w:r>
    </w:p>
    <w:p w:rsidR="00822FF7" w:rsidRDefault="00822FF7" w:rsidP="00822FF7">
      <w:pPr>
        <w:widowControl w:val="0"/>
        <w:autoSpaceDE w:val="0"/>
        <w:autoSpaceDN w:val="0"/>
        <w:adjustRightInd w:val="0"/>
        <w:spacing w:after="120"/>
        <w:jc w:val="both"/>
        <w:rPr>
          <w:rFonts w:asciiTheme="majorHAnsi" w:hAnsiTheme="majorHAnsi"/>
          <w:lang w:val="ro-RO"/>
        </w:rPr>
      </w:pPr>
      <w:r w:rsidRPr="00B07092">
        <w:rPr>
          <w:rFonts w:asciiTheme="majorHAnsi" w:hAnsiTheme="majorHAnsi"/>
          <w:lang w:val="ro-RO"/>
        </w:rPr>
        <w:t xml:space="preserve">România </w:t>
      </w:r>
      <w:r>
        <w:rPr>
          <w:rFonts w:asciiTheme="majorHAnsi" w:hAnsiTheme="majorHAnsi"/>
          <w:lang w:val="ro-RO"/>
        </w:rPr>
        <w:t xml:space="preserve">se află </w:t>
      </w:r>
      <w:r w:rsidRPr="00B07092">
        <w:rPr>
          <w:rFonts w:asciiTheme="majorHAnsi" w:hAnsiTheme="majorHAnsi"/>
          <w:lang w:val="ro-RO"/>
        </w:rPr>
        <w:t xml:space="preserve">pe ultimul loc între ţările europene în privinţa frecventării concertelor și a cinematografelor, puţin peste 60% dintre tineri făcând acest lucru în ultimul an. România se </w:t>
      </w:r>
      <w:r w:rsidRPr="00B07092">
        <w:rPr>
          <w:rFonts w:asciiTheme="majorHAnsi" w:hAnsiTheme="majorHAnsi"/>
          <w:lang w:val="ro-RO"/>
        </w:rPr>
        <w:lastRenderedPageBreak/>
        <w:t xml:space="preserve">plasează printre ţările cu ponderi scăzute </w:t>
      </w:r>
      <w:r>
        <w:rPr>
          <w:rFonts w:asciiTheme="majorHAnsi" w:hAnsiTheme="majorHAnsi"/>
          <w:lang w:val="ro-RO"/>
        </w:rPr>
        <w:t>în context european de</w:t>
      </w:r>
      <w:r w:rsidRPr="00B07092">
        <w:rPr>
          <w:rFonts w:asciiTheme="majorHAnsi" w:hAnsiTheme="majorHAnsi"/>
          <w:lang w:val="ro-RO"/>
        </w:rPr>
        <w:t xml:space="preserve"> </w:t>
      </w:r>
      <w:r>
        <w:rPr>
          <w:rFonts w:asciiTheme="majorHAnsi" w:hAnsiTheme="majorHAnsi"/>
          <w:lang w:val="ro-RO"/>
        </w:rPr>
        <w:t xml:space="preserve">tineri </w:t>
      </w:r>
      <w:r w:rsidRPr="00B07092">
        <w:rPr>
          <w:rFonts w:asciiTheme="majorHAnsi" w:hAnsiTheme="majorHAnsi"/>
          <w:lang w:val="ro-RO"/>
        </w:rPr>
        <w:t>care vizitează monumente, muzee sau galerii și ale tinerilor care frecventează teatrul, opera sau spectacolele de dans.</w:t>
      </w:r>
      <w:r>
        <w:rPr>
          <w:rStyle w:val="FootnoteReference"/>
          <w:rFonts w:asciiTheme="majorHAnsi" w:hAnsiTheme="majorHAnsi"/>
          <w:lang w:val="ro-RO"/>
        </w:rPr>
        <w:footnoteReference w:id="39"/>
      </w:r>
      <w:bookmarkStart w:id="51" w:name="_Toc239222856"/>
      <w:bookmarkStart w:id="52" w:name="_Toc243570851"/>
    </w:p>
    <w:p w:rsidR="00822FF7" w:rsidRDefault="00822FF7" w:rsidP="00822FF7">
      <w:pPr>
        <w:widowControl w:val="0"/>
        <w:autoSpaceDE w:val="0"/>
        <w:autoSpaceDN w:val="0"/>
        <w:adjustRightInd w:val="0"/>
        <w:spacing w:after="120"/>
        <w:jc w:val="both"/>
        <w:rPr>
          <w:noProof/>
          <w:lang w:val="ro-RO"/>
        </w:rPr>
      </w:pPr>
    </w:p>
    <w:p w:rsidR="00822FF7" w:rsidRPr="00DA6D32" w:rsidRDefault="00822FF7" w:rsidP="00822FF7">
      <w:pPr>
        <w:pStyle w:val="Heading3"/>
        <w:rPr>
          <w:lang w:val="ro-RO"/>
        </w:rPr>
      </w:pPr>
      <w:bookmarkStart w:id="53" w:name="_Toc370211862"/>
      <w:r>
        <w:rPr>
          <w:lang w:val="ro-RO"/>
        </w:rPr>
        <w:t>R</w:t>
      </w:r>
      <w:r w:rsidRPr="00DA6D32">
        <w:rPr>
          <w:lang w:val="ro-RO"/>
        </w:rPr>
        <w:t>ezultate așteptate</w:t>
      </w:r>
      <w:bookmarkEnd w:id="53"/>
    </w:p>
    <w:p w:rsidR="00822FF7" w:rsidRPr="00661750" w:rsidRDefault="00822FF7" w:rsidP="00822FF7">
      <w:pPr>
        <w:spacing w:after="120"/>
        <w:jc w:val="both"/>
        <w:rPr>
          <w:rFonts w:asciiTheme="majorHAnsi" w:hAnsiTheme="majorHAnsi"/>
          <w:lang w:val="ro-RO"/>
        </w:rPr>
      </w:pPr>
      <w:r w:rsidRPr="00661750">
        <w:rPr>
          <w:rFonts w:asciiTheme="majorHAnsi" w:hAnsiTheme="majorHAnsi"/>
          <w:lang w:val="ro-RO"/>
        </w:rPr>
        <w:t>Faţă de aceste date ale realităţii prezente, Strategia pentru tineret îşi propune să mobilizeze instituţiile şi organizaţiile competente  - guvernamentale şi neguvernamentale, într-un efort concertat de extindere,  ridicare a calităţii și creștere a eficienţei educaţiei formale şi non-formale oferite tinerilor în scopul unei mai bune pregătiri a acestora pentru muncă şi viaţă și a ridicării nivelului lor de cultură.</w:t>
      </w:r>
    </w:p>
    <w:p w:rsidR="00822FF7" w:rsidRDefault="00822FF7" w:rsidP="00822FF7">
      <w:pPr>
        <w:spacing w:after="120"/>
        <w:jc w:val="both"/>
        <w:rPr>
          <w:rFonts w:asciiTheme="majorHAnsi" w:hAnsiTheme="majorHAnsi"/>
          <w:lang w:val="ro-RO"/>
        </w:rPr>
      </w:pPr>
      <w:r w:rsidRPr="00661750">
        <w:rPr>
          <w:rFonts w:asciiTheme="majorHAnsi" w:hAnsiTheme="majorHAnsi"/>
          <w:lang w:val="ro-RO"/>
        </w:rPr>
        <w:t xml:space="preserve">Îmbunătăţirea participării tinerilor la educaţia non-formală, prea puţin dezvoltată în România după cum a arătat analiza situaţiei, </w:t>
      </w:r>
      <w:r>
        <w:rPr>
          <w:rFonts w:asciiTheme="majorHAnsi" w:hAnsiTheme="majorHAnsi"/>
          <w:lang w:val="ro-RO"/>
        </w:rPr>
        <w:t>se va realiza</w:t>
      </w:r>
      <w:r w:rsidRPr="00661750">
        <w:rPr>
          <w:rFonts w:asciiTheme="majorHAnsi" w:hAnsiTheme="majorHAnsi"/>
          <w:lang w:val="ro-RO"/>
        </w:rPr>
        <w:t xml:space="preserve"> concomitent cu creșterea performanţelor sistemului școlar și creșterea relevanţei școlii pentru piaţa muncii și pentru viaţa adultă independentă.</w:t>
      </w:r>
      <w:r>
        <w:rPr>
          <w:rFonts w:asciiTheme="majorHAnsi" w:hAnsiTheme="majorHAnsi"/>
          <w:lang w:val="ro-RO"/>
        </w:rPr>
        <w:t xml:space="preserve"> E</w:t>
      </w:r>
      <w:r w:rsidRPr="00661750">
        <w:rPr>
          <w:rFonts w:asciiTheme="majorHAnsi" w:hAnsiTheme="majorHAnsi"/>
          <w:lang w:val="ro-RO"/>
        </w:rPr>
        <w:t xml:space="preserve">ducaţia non-formală în România </w:t>
      </w:r>
      <w:r>
        <w:rPr>
          <w:rFonts w:asciiTheme="majorHAnsi" w:hAnsiTheme="majorHAnsi"/>
          <w:lang w:val="ro-RO"/>
        </w:rPr>
        <w:t>reprezintă atât o oportunitate de compensare</w:t>
      </w:r>
      <w:r w:rsidRPr="00661750">
        <w:rPr>
          <w:rFonts w:asciiTheme="majorHAnsi" w:hAnsiTheme="majorHAnsi"/>
          <w:lang w:val="ro-RO"/>
        </w:rPr>
        <w:t xml:space="preserve"> a deficitelor acumulate în sectorul formal, privind calitatea învăţământului și capitalul educaţional, </w:t>
      </w:r>
      <w:r>
        <w:rPr>
          <w:rFonts w:asciiTheme="majorHAnsi" w:hAnsiTheme="majorHAnsi"/>
          <w:lang w:val="ro-RO"/>
        </w:rPr>
        <w:t xml:space="preserve">și de creștere a competențelor profesionale și a incluziunii sociale, </w:t>
      </w:r>
      <w:r w:rsidRPr="00661750">
        <w:rPr>
          <w:rFonts w:asciiTheme="majorHAnsi" w:hAnsiTheme="majorHAnsi"/>
          <w:lang w:val="ro-RO"/>
        </w:rPr>
        <w:t>cât și o modalitate de schimbare a percepţiei asupra educaţiei, de la înţelegerea ei ca o etapă în dezvoltarea iniţială a indivizilor la promovarea învăţării pe tot parcursul vieţii.</w:t>
      </w:r>
      <w:r>
        <w:rPr>
          <w:rFonts w:asciiTheme="majorHAnsi" w:hAnsiTheme="majorHAnsi"/>
          <w:lang w:val="ro-RO"/>
        </w:rPr>
        <w:t xml:space="preserve"> Strategia își propune să conducă la îmbunătățirea ofertei</w:t>
      </w:r>
      <w:r w:rsidRPr="0054612B">
        <w:rPr>
          <w:rFonts w:asciiTheme="majorHAnsi" w:hAnsiTheme="majorHAnsi"/>
          <w:lang w:val="ro-RO"/>
        </w:rPr>
        <w:t xml:space="preserve"> de educaţie non-formală</w:t>
      </w:r>
      <w:r>
        <w:rPr>
          <w:rFonts w:asciiTheme="majorHAnsi" w:hAnsiTheme="majorHAnsi"/>
          <w:lang w:val="ro-RO"/>
        </w:rPr>
        <w:t xml:space="preserve">, scăzută în prezent, dar </w:t>
      </w:r>
      <w:r w:rsidRPr="0054612B">
        <w:rPr>
          <w:rFonts w:asciiTheme="majorHAnsi" w:hAnsiTheme="majorHAnsi"/>
          <w:lang w:val="ro-RO"/>
        </w:rPr>
        <w:t>ș</w:t>
      </w:r>
      <w:r>
        <w:rPr>
          <w:rFonts w:asciiTheme="majorHAnsi" w:hAnsiTheme="majorHAnsi"/>
          <w:lang w:val="ro-RO"/>
        </w:rPr>
        <w:t>i la</w:t>
      </w:r>
      <w:r w:rsidRPr="0054612B">
        <w:rPr>
          <w:rFonts w:asciiTheme="majorHAnsi" w:hAnsiTheme="majorHAnsi"/>
          <w:lang w:val="ro-RO"/>
        </w:rPr>
        <w:t xml:space="preserve"> creșterea interesului populaţiei (și în mod special al tinerilor) pentru această arie a învăţării.</w:t>
      </w:r>
    </w:p>
    <w:p w:rsidR="00822FF7" w:rsidRPr="009F6BF7" w:rsidRDefault="00822FF7" w:rsidP="00822FF7">
      <w:pPr>
        <w:spacing w:after="120"/>
        <w:jc w:val="both"/>
        <w:rPr>
          <w:rFonts w:asciiTheme="majorHAnsi" w:hAnsiTheme="majorHAnsi"/>
          <w:lang w:val="ro-RO"/>
        </w:rPr>
      </w:pPr>
      <w:r>
        <w:rPr>
          <w:rFonts w:asciiTheme="majorHAnsi" w:hAnsiTheme="majorHAnsi"/>
          <w:lang w:val="ro-RO"/>
        </w:rPr>
        <w:t>De asemenea, se urmărește valorificarea deschiderii tinerilor</w:t>
      </w:r>
      <w:r w:rsidRPr="009F6BF7">
        <w:rPr>
          <w:rFonts w:asciiTheme="majorHAnsi" w:hAnsiTheme="majorHAnsi"/>
          <w:lang w:val="ro-RO"/>
        </w:rPr>
        <w:t xml:space="preserve"> </w:t>
      </w:r>
      <w:r>
        <w:rPr>
          <w:rFonts w:asciiTheme="majorHAnsi" w:hAnsiTheme="majorHAnsi"/>
          <w:lang w:val="ro-RO"/>
        </w:rPr>
        <w:t>de a participa</w:t>
      </w:r>
      <w:r w:rsidRPr="009F6BF7">
        <w:rPr>
          <w:rFonts w:asciiTheme="majorHAnsi" w:hAnsiTheme="majorHAnsi"/>
          <w:lang w:val="ro-RO"/>
        </w:rPr>
        <w:t xml:space="preserve"> la activităţ</w:t>
      </w:r>
      <w:r>
        <w:rPr>
          <w:rFonts w:asciiTheme="majorHAnsi" w:hAnsiTheme="majorHAnsi"/>
          <w:lang w:val="ro-RO"/>
        </w:rPr>
        <w:t>i culturale,</w:t>
      </w:r>
      <w:r w:rsidRPr="009F6BF7">
        <w:rPr>
          <w:rFonts w:asciiTheme="majorHAnsi" w:hAnsiTheme="majorHAnsi"/>
          <w:lang w:val="ro-RO"/>
        </w:rPr>
        <w:t xml:space="preserve"> datele </w:t>
      </w:r>
      <w:r>
        <w:rPr>
          <w:rFonts w:asciiTheme="majorHAnsi" w:hAnsiTheme="majorHAnsi"/>
          <w:lang w:val="ro-RO"/>
        </w:rPr>
        <w:t>indicând</w:t>
      </w:r>
      <w:r w:rsidRPr="009F6BF7">
        <w:rPr>
          <w:rFonts w:asciiTheme="majorHAnsi" w:hAnsiTheme="majorHAnsi"/>
          <w:lang w:val="ro-RO"/>
        </w:rPr>
        <w:t xml:space="preserve"> un nivel insuficient. </w:t>
      </w:r>
      <w:r>
        <w:rPr>
          <w:rFonts w:asciiTheme="majorHAnsi" w:hAnsiTheme="majorHAnsi"/>
          <w:lang w:val="ro-RO"/>
        </w:rPr>
        <w:t xml:space="preserve">În acest sens, se pune accent pe îmbunătățirea </w:t>
      </w:r>
      <w:r w:rsidRPr="009F6BF7">
        <w:rPr>
          <w:rFonts w:asciiTheme="majorHAnsi" w:hAnsiTheme="majorHAnsi"/>
          <w:lang w:val="ro-RO"/>
        </w:rPr>
        <w:t>relevanţ</w:t>
      </w:r>
      <w:r>
        <w:rPr>
          <w:rFonts w:asciiTheme="majorHAnsi" w:hAnsiTheme="majorHAnsi"/>
          <w:lang w:val="ro-RO"/>
        </w:rPr>
        <w:t xml:space="preserve">ei </w:t>
      </w:r>
      <w:r w:rsidRPr="009F6BF7">
        <w:rPr>
          <w:rFonts w:asciiTheme="majorHAnsi" w:hAnsiTheme="majorHAnsi"/>
          <w:lang w:val="ro-RO"/>
        </w:rPr>
        <w:t xml:space="preserve">culturii în raport cu  sistemul de valori al multor tineri, </w:t>
      </w:r>
      <w:r>
        <w:rPr>
          <w:rFonts w:asciiTheme="majorHAnsi" w:hAnsiTheme="majorHAnsi"/>
          <w:lang w:val="ro-RO"/>
        </w:rPr>
        <w:t xml:space="preserve">combaterea </w:t>
      </w:r>
      <w:r w:rsidRPr="009F6BF7">
        <w:rPr>
          <w:rFonts w:asciiTheme="majorHAnsi" w:hAnsiTheme="majorHAnsi"/>
          <w:lang w:val="ro-RO"/>
        </w:rPr>
        <w:t>constrâ</w:t>
      </w:r>
      <w:r>
        <w:rPr>
          <w:rFonts w:asciiTheme="majorHAnsi" w:hAnsiTheme="majorHAnsi"/>
          <w:lang w:val="ro-RO"/>
        </w:rPr>
        <w:t>ngerilor</w:t>
      </w:r>
      <w:r w:rsidRPr="009F6BF7">
        <w:rPr>
          <w:rFonts w:asciiTheme="majorHAnsi" w:hAnsiTheme="majorHAnsi"/>
          <w:lang w:val="ro-RO"/>
        </w:rPr>
        <w:t xml:space="preserve"> economice care ar putea bloca accesul la cultură al tinerilor, precum și </w:t>
      </w:r>
      <w:r>
        <w:rPr>
          <w:rFonts w:asciiTheme="majorHAnsi" w:hAnsiTheme="majorHAnsi"/>
          <w:lang w:val="ro-RO"/>
        </w:rPr>
        <w:t>îmbunătățirea disponibilității</w:t>
      </w:r>
      <w:r w:rsidRPr="009F6BF7">
        <w:rPr>
          <w:rFonts w:asciiTheme="majorHAnsi" w:hAnsiTheme="majorHAnsi"/>
          <w:lang w:val="ro-RO"/>
        </w:rPr>
        <w:t xml:space="preserve"> ofertei culturale dedicate tineretului. O provocare aparte o reprezintă creșterea suportului acordat creaţiei culturale aparţinând tinerilor înșiși, având în vedere constrângerile economice ce se exercită asupra creatorilor de artă și  cutură.</w:t>
      </w:r>
    </w:p>
    <w:p w:rsidR="00822FF7" w:rsidRPr="0054612B" w:rsidRDefault="00822FF7" w:rsidP="00822FF7">
      <w:pPr>
        <w:spacing w:after="120"/>
        <w:jc w:val="both"/>
        <w:rPr>
          <w:rFonts w:asciiTheme="majorHAnsi" w:hAnsiTheme="majorHAnsi"/>
          <w:lang w:val="ro-RO"/>
        </w:rPr>
      </w:pPr>
    </w:p>
    <w:p w:rsidR="00F85843" w:rsidRDefault="00822FF7" w:rsidP="00822FF7">
      <w:pPr>
        <w:pStyle w:val="Heading2"/>
        <w:spacing w:after="120"/>
        <w:rPr>
          <w:lang w:val="ro-RO"/>
        </w:rPr>
      </w:pPr>
      <w:bookmarkStart w:id="54" w:name="_Toc370211863"/>
      <w:r w:rsidRPr="0002274F">
        <w:rPr>
          <w:lang w:val="ro-RO"/>
        </w:rPr>
        <w:t>Sănătate, sport și recreere</w:t>
      </w:r>
      <w:bookmarkEnd w:id="51"/>
      <w:bookmarkEnd w:id="52"/>
      <w:bookmarkEnd w:id="54"/>
    </w:p>
    <w:p w:rsidR="00F85843" w:rsidRDefault="00F85843" w:rsidP="00F85843">
      <w:pPr>
        <w:pStyle w:val="Heading3"/>
        <w:rPr>
          <w:lang w:val="ro-RO"/>
        </w:rPr>
      </w:pPr>
    </w:p>
    <w:p w:rsidR="00F85843" w:rsidRPr="0002274F" w:rsidRDefault="00F85843" w:rsidP="00F85843">
      <w:pPr>
        <w:pStyle w:val="Heading3"/>
        <w:rPr>
          <w:lang w:val="ro-RO"/>
        </w:rPr>
      </w:pPr>
      <w:bookmarkStart w:id="55" w:name="_Toc370211864"/>
      <w:r>
        <w:rPr>
          <w:lang w:val="ro-RO"/>
        </w:rPr>
        <w:t>Sănătate</w:t>
      </w:r>
      <w:bookmarkEnd w:id="55"/>
    </w:p>
    <w:p w:rsidR="00822FF7" w:rsidRPr="00F85843" w:rsidRDefault="00822FF7" w:rsidP="00F85843"/>
    <w:p w:rsidR="00822FF7" w:rsidRPr="00BC4C82" w:rsidRDefault="00822FF7" w:rsidP="00822FF7">
      <w:pPr>
        <w:spacing w:after="120"/>
        <w:jc w:val="both"/>
        <w:rPr>
          <w:lang w:val="ro-RO"/>
        </w:rPr>
      </w:pPr>
      <w:r w:rsidRPr="0093648B">
        <w:rPr>
          <w:rFonts w:asciiTheme="majorHAnsi" w:hAnsiTheme="majorHAnsi"/>
          <w:lang w:val="ro-RO"/>
        </w:rPr>
        <w:t xml:space="preserve">Cu </w:t>
      </w:r>
      <w:r>
        <w:rPr>
          <w:rFonts w:asciiTheme="majorHAnsi" w:hAnsiTheme="majorHAnsi"/>
          <w:lang w:val="ro-RO"/>
        </w:rPr>
        <w:t xml:space="preserve">aproape unul din zece copii </w:t>
      </w:r>
      <w:r w:rsidRPr="0093648B">
        <w:rPr>
          <w:rFonts w:asciiTheme="majorHAnsi" w:hAnsiTheme="majorHAnsi"/>
          <w:lang w:val="ro-RO"/>
        </w:rPr>
        <w:t>născut în 2010 de o tânără cu vârsta între 15 și 19 ani, România are cel mai ridicat nivel din UE-28, alături de Bulgaria</w:t>
      </w:r>
      <w:r>
        <w:rPr>
          <w:rFonts w:asciiTheme="majorHAnsi" w:hAnsiTheme="majorHAnsi"/>
          <w:lang w:val="ro-RO"/>
        </w:rPr>
        <w:t>.</w:t>
      </w:r>
      <w:r>
        <w:rPr>
          <w:rStyle w:val="FootnoteReference"/>
          <w:rFonts w:asciiTheme="majorHAnsi" w:hAnsiTheme="majorHAnsi"/>
          <w:lang w:val="ro-RO"/>
        </w:rPr>
        <w:footnoteReference w:id="40"/>
      </w:r>
      <w:r>
        <w:rPr>
          <w:rFonts w:asciiTheme="majorHAnsi" w:hAnsiTheme="majorHAnsi"/>
          <w:lang w:val="ro-RO"/>
        </w:rPr>
        <w:t xml:space="preserve"> Valoarea este </w:t>
      </w:r>
      <w:r w:rsidRPr="0093648B">
        <w:rPr>
          <w:rFonts w:asciiTheme="majorHAnsi" w:hAnsiTheme="majorHAnsi"/>
          <w:lang w:val="ro-RO"/>
        </w:rPr>
        <w:t xml:space="preserve">doar cu 1,4 puncte procentuale mai </w:t>
      </w:r>
      <w:r>
        <w:rPr>
          <w:rFonts w:asciiTheme="majorHAnsi" w:hAnsiTheme="majorHAnsi"/>
          <w:lang w:val="ro-RO"/>
        </w:rPr>
        <w:t xml:space="preserve">scăzută </w:t>
      </w:r>
      <w:r w:rsidRPr="0093648B">
        <w:rPr>
          <w:rFonts w:asciiTheme="majorHAnsi" w:hAnsiTheme="majorHAnsi"/>
          <w:lang w:val="ro-RO"/>
        </w:rPr>
        <w:t>decât în 2005</w:t>
      </w:r>
      <w:r>
        <w:rPr>
          <w:rFonts w:asciiTheme="majorHAnsi" w:hAnsiTheme="majorHAnsi"/>
          <w:lang w:val="ro-RO"/>
        </w:rPr>
        <w:t>. I</w:t>
      </w:r>
      <w:r w:rsidRPr="00BC4C82">
        <w:rPr>
          <w:rFonts w:asciiTheme="majorHAnsi" w:hAnsiTheme="majorHAnsi"/>
          <w:lang w:val="ro-RO"/>
        </w:rPr>
        <w:t>nsuficienţa planificării familiale și a educaţiei pentru sănătatea reproducerii</w:t>
      </w:r>
      <w:r w:rsidRPr="0093648B">
        <w:rPr>
          <w:rFonts w:asciiTheme="majorHAnsi" w:hAnsiTheme="majorHAnsi"/>
          <w:lang w:val="ro-RO"/>
        </w:rPr>
        <w:t>,</w:t>
      </w:r>
      <w:r>
        <w:rPr>
          <w:rFonts w:asciiTheme="majorHAnsi" w:hAnsiTheme="majorHAnsi"/>
          <w:lang w:val="ro-RO"/>
        </w:rPr>
        <w:t xml:space="preserve"> se reflectă și în faptul că</w:t>
      </w:r>
      <w:r w:rsidRPr="0093648B">
        <w:rPr>
          <w:rFonts w:asciiTheme="majorHAnsi" w:hAnsiTheme="majorHAnsi"/>
          <w:lang w:val="ro-RO"/>
        </w:rPr>
        <w:t xml:space="preserve"> tinerele de 15‐19 ani au contribuit în medie, în ultimii ani, cu </w:t>
      </w:r>
      <w:r w:rsidRPr="0093648B">
        <w:rPr>
          <w:rFonts w:asciiTheme="majorHAnsi" w:hAnsiTheme="majorHAnsi"/>
          <w:lang w:val="ro-RO"/>
        </w:rPr>
        <w:lastRenderedPageBreak/>
        <w:t>aproximativ</w:t>
      </w:r>
      <w:r w:rsidRPr="00BC4C82">
        <w:rPr>
          <w:rFonts w:asciiTheme="majorHAnsi" w:hAnsiTheme="majorHAnsi"/>
          <w:lang w:val="ro-RO"/>
        </w:rPr>
        <w:t xml:space="preserve"> </w:t>
      </w:r>
      <w:r w:rsidRPr="0093648B">
        <w:rPr>
          <w:rFonts w:asciiTheme="majorHAnsi" w:hAnsiTheme="majorHAnsi"/>
          <w:lang w:val="ro-RO"/>
        </w:rPr>
        <w:t>10% la totalul avorturilor înregistrate anual.</w:t>
      </w:r>
      <w:r w:rsidRPr="00FF6AB9">
        <w:rPr>
          <w:lang w:val="ro-RO"/>
        </w:rPr>
        <w:t xml:space="preserve"> </w:t>
      </w:r>
      <w:r>
        <w:rPr>
          <w:lang w:val="ro-RO"/>
        </w:rPr>
        <w:t>L</w:t>
      </w:r>
      <w:r w:rsidRPr="00BC4C82">
        <w:rPr>
          <w:rFonts w:asciiTheme="majorHAnsi" w:hAnsiTheme="majorHAnsi"/>
          <w:lang w:val="ro-RO"/>
        </w:rPr>
        <w:t>a nivelul anului 2011, 1 din 10 tinere rome năşteau primul copil între 12 şi 15 ani și aproape jumătate între 16  şi 18 ani</w:t>
      </w:r>
      <w:r>
        <w:rPr>
          <w:rFonts w:asciiTheme="majorHAnsi" w:hAnsiTheme="majorHAnsi"/>
          <w:lang w:val="ro-RO"/>
        </w:rPr>
        <w:t>.</w:t>
      </w:r>
      <w:r>
        <w:rPr>
          <w:rStyle w:val="FootnoteReference"/>
          <w:rFonts w:asciiTheme="majorHAnsi" w:hAnsiTheme="majorHAnsi"/>
          <w:lang w:val="ro-RO"/>
        </w:rPr>
        <w:footnoteReference w:id="41"/>
      </w:r>
    </w:p>
    <w:p w:rsidR="00822FF7" w:rsidRPr="00B9554E" w:rsidRDefault="00822FF7" w:rsidP="00822FF7">
      <w:pPr>
        <w:spacing w:after="120"/>
        <w:jc w:val="both"/>
        <w:rPr>
          <w:rFonts w:asciiTheme="majorHAnsi" w:hAnsiTheme="majorHAnsi"/>
          <w:lang w:val="ro-RO"/>
        </w:rPr>
      </w:pPr>
      <w:r w:rsidRPr="00B9554E">
        <w:rPr>
          <w:rFonts w:asciiTheme="majorHAnsi" w:hAnsiTheme="majorHAnsi"/>
          <w:lang w:val="ro-RO"/>
        </w:rPr>
        <w:t>Între persoanele care trăiesc cu HIV/SIDA predomină tinerii de 20-29 ani</w:t>
      </w:r>
      <w:r>
        <w:rPr>
          <w:rStyle w:val="FootnoteReference"/>
          <w:rFonts w:asciiTheme="majorHAnsi" w:hAnsiTheme="majorHAnsi"/>
          <w:lang w:val="ro-RO"/>
        </w:rPr>
        <w:footnoteReference w:id="42"/>
      </w:r>
      <w:r w:rsidRPr="00B9554E">
        <w:rPr>
          <w:rFonts w:asciiTheme="majorHAnsi" w:hAnsiTheme="majorHAnsi"/>
          <w:lang w:val="ro-RO"/>
        </w:rPr>
        <w:t xml:space="preserve">. </w:t>
      </w:r>
      <w:r>
        <w:rPr>
          <w:rFonts w:asciiTheme="majorHAnsi" w:hAnsiTheme="majorHAnsi"/>
          <w:lang w:val="ro-RO"/>
        </w:rPr>
        <w:t>Întrucât</w:t>
      </w:r>
      <w:r w:rsidRPr="00B9554E">
        <w:rPr>
          <w:rFonts w:asciiTheme="majorHAnsi" w:hAnsiTheme="majorHAnsi"/>
          <w:lang w:val="ro-RO"/>
        </w:rPr>
        <w:t xml:space="preserve"> calea dominantă de transmitere este cea sexuală iar tinerii sunt un grup activ sexual, rezultă un risc de creştere a incidenţei HIV/SIDA în anii următori, cu precădere în rândul grupurilor de risc.</w:t>
      </w:r>
      <w:r>
        <w:rPr>
          <w:rStyle w:val="FootnoteReference"/>
          <w:rFonts w:asciiTheme="majorHAnsi" w:hAnsiTheme="majorHAnsi"/>
          <w:lang w:val="ro-RO"/>
        </w:rPr>
        <w:footnoteReference w:id="43"/>
      </w:r>
    </w:p>
    <w:p w:rsidR="00822FF7" w:rsidRDefault="00822FF7" w:rsidP="00822FF7">
      <w:pPr>
        <w:spacing w:after="120"/>
        <w:jc w:val="both"/>
        <w:rPr>
          <w:rFonts w:asciiTheme="majorHAnsi" w:hAnsiTheme="majorHAnsi"/>
          <w:lang w:val="ro-RO"/>
        </w:rPr>
      </w:pPr>
      <w:r w:rsidRPr="00FF6AB9">
        <w:rPr>
          <w:lang w:val="ro-RO"/>
        </w:rPr>
        <w:t>I</w:t>
      </w:r>
      <w:r w:rsidRPr="007F5976">
        <w:rPr>
          <w:rFonts w:asciiTheme="majorHAnsi" w:hAnsiTheme="majorHAnsi"/>
          <w:lang w:val="ro-RO"/>
        </w:rPr>
        <w:t>ncidenţa suicidului la tinerii de 15‐19 ani a fost de 6,3 decese la 100.000 locuitori în 2010, cu aproximativ 50% peste media europeană. În România există o tendinţă de creştere cu 7,2% faţă de 2005, în contextul unui uşor declin înregistrat la nivelul UE.</w:t>
      </w:r>
      <w:r w:rsidRPr="004B5CE7">
        <w:rPr>
          <w:rStyle w:val="FootnoteReference"/>
          <w:lang w:val="ro-RO"/>
        </w:rPr>
        <w:footnoteReference w:id="44"/>
      </w:r>
    </w:p>
    <w:p w:rsidR="00822FF7" w:rsidRPr="004B5CE7" w:rsidRDefault="00822FF7" w:rsidP="00430086">
      <w:pPr>
        <w:pStyle w:val="Normal1"/>
        <w:rPr>
          <w:rFonts w:eastAsiaTheme="minorHAnsi" w:cstheme="minorBidi"/>
          <w:b/>
          <w:bCs/>
          <w:color w:val="auto"/>
          <w:szCs w:val="24"/>
          <w:lang w:val="ro-RO"/>
        </w:rPr>
      </w:pPr>
      <w:r w:rsidRPr="00430086">
        <w:rPr>
          <w:rFonts w:asciiTheme="majorHAnsi" w:eastAsia="Calibri" w:hAnsiTheme="majorHAnsi" w:cs="Calibri"/>
          <w:color w:val="auto"/>
          <w:lang w:val="ro-RO"/>
        </w:rPr>
        <w:t>Datele statistice indică o creştere a obezităţii, a sedentarismului, consumului de alcool şi fumatului de la vârste relativ mici şi o incidenţă în creştere a consumului de droguri</w:t>
      </w:r>
      <w:r>
        <w:rPr>
          <w:rStyle w:val="FootnoteReference"/>
          <w:rFonts w:eastAsiaTheme="minorHAnsi" w:cstheme="minorBidi"/>
          <w:color w:val="auto"/>
          <w:szCs w:val="24"/>
          <w:lang w:val="ro-RO"/>
        </w:rPr>
        <w:footnoteReference w:id="45"/>
      </w:r>
      <w:r w:rsidRPr="004B5CE7">
        <w:rPr>
          <w:rFonts w:eastAsiaTheme="minorHAnsi" w:cstheme="minorBidi"/>
          <w:color w:val="auto"/>
          <w:szCs w:val="24"/>
          <w:lang w:val="ro-RO"/>
        </w:rPr>
        <w:t>.</w:t>
      </w:r>
    </w:p>
    <w:p w:rsidR="00822FF7" w:rsidRDefault="00822FF7" w:rsidP="00822FF7">
      <w:pPr>
        <w:spacing w:after="120"/>
        <w:jc w:val="both"/>
        <w:rPr>
          <w:noProof/>
          <w:lang w:val="ro-RO"/>
        </w:rPr>
      </w:pPr>
      <w:r>
        <w:rPr>
          <w:rFonts w:asciiTheme="majorHAnsi" w:hAnsiTheme="majorHAnsi"/>
          <w:lang w:val="ro-RO"/>
        </w:rPr>
        <w:t>Chiar dacă România face parte dintre țările cu consum mai redus, s</w:t>
      </w:r>
      <w:r w:rsidRPr="00B21A0F">
        <w:rPr>
          <w:rFonts w:asciiTheme="majorHAnsi" w:hAnsiTheme="majorHAnsi"/>
          <w:lang w:val="ro-RO"/>
        </w:rPr>
        <w:t xml:space="preserve">e înregistrează o tendinţă </w:t>
      </w:r>
      <w:r>
        <w:rPr>
          <w:rFonts w:asciiTheme="majorHAnsi" w:hAnsiTheme="majorHAnsi"/>
          <w:lang w:val="ro-RO"/>
        </w:rPr>
        <w:t xml:space="preserve">îngrijorătoare </w:t>
      </w:r>
      <w:r w:rsidRPr="00B21A0F">
        <w:rPr>
          <w:rFonts w:asciiTheme="majorHAnsi" w:hAnsiTheme="majorHAnsi"/>
          <w:lang w:val="ro-RO"/>
        </w:rPr>
        <w:t xml:space="preserve">de creștere a </w:t>
      </w:r>
      <w:r>
        <w:rPr>
          <w:rFonts w:asciiTheme="majorHAnsi" w:hAnsiTheme="majorHAnsi"/>
          <w:lang w:val="ro-RO"/>
        </w:rPr>
        <w:t>utilizării</w:t>
      </w:r>
      <w:r w:rsidRPr="00B21A0F">
        <w:rPr>
          <w:rFonts w:asciiTheme="majorHAnsi" w:hAnsiTheme="majorHAnsi"/>
          <w:lang w:val="ro-RO"/>
        </w:rPr>
        <w:t xml:space="preserve"> substanţe psihoactive în rândul tinerilor de 16 ani, ponderea fiind de 10% în 2011, de două ori mai ridicată decât în 2007</w:t>
      </w:r>
      <w:r w:rsidRPr="00FF6AB9">
        <w:rPr>
          <w:rStyle w:val="FootnoteReference"/>
          <w:lang w:val="ro-RO"/>
        </w:rPr>
        <w:footnoteReference w:id="46"/>
      </w:r>
      <w:r w:rsidRPr="00FF6AB9">
        <w:rPr>
          <w:lang w:val="ro-RO"/>
        </w:rPr>
        <w:t xml:space="preserve">.  </w:t>
      </w:r>
      <w:r w:rsidRPr="00D17C92">
        <w:rPr>
          <w:rFonts w:asciiTheme="majorHAnsi" w:hAnsiTheme="majorHAnsi"/>
          <w:lang w:val="ro-RO"/>
        </w:rPr>
        <w:t>Aproape 1 din 3</w:t>
      </w:r>
      <w:r>
        <w:rPr>
          <w:rFonts w:asciiTheme="majorHAnsi" w:hAnsiTheme="majorHAnsi"/>
          <w:lang w:val="ro-RO"/>
        </w:rPr>
        <w:t xml:space="preserve"> tineri</w:t>
      </w:r>
      <w:r w:rsidRPr="00D17C92">
        <w:rPr>
          <w:rFonts w:asciiTheme="majorHAnsi" w:hAnsiTheme="majorHAnsi"/>
          <w:lang w:val="ro-RO"/>
        </w:rPr>
        <w:t xml:space="preserve"> fumează, în timp ce 1 din 10 consumă alcool zilnic</w:t>
      </w:r>
      <w:r>
        <w:rPr>
          <w:rStyle w:val="FootnoteReference"/>
          <w:rFonts w:asciiTheme="majorHAnsi" w:hAnsiTheme="majorHAnsi"/>
          <w:lang w:val="ro-RO"/>
        </w:rPr>
        <w:footnoteReference w:id="47"/>
      </w:r>
      <w:r>
        <w:rPr>
          <w:noProof/>
          <w:lang w:val="ro-RO"/>
        </w:rPr>
        <w:t xml:space="preserve">. </w:t>
      </w:r>
    </w:p>
    <w:p w:rsidR="00822FF7" w:rsidRDefault="00822FF7" w:rsidP="00822FF7">
      <w:pPr>
        <w:pStyle w:val="Heading3"/>
        <w:rPr>
          <w:lang w:val="ro-RO"/>
        </w:rPr>
      </w:pPr>
      <w:bookmarkStart w:id="56" w:name="_Toc239222858"/>
      <w:bookmarkStart w:id="57" w:name="_Toc243570853"/>
    </w:p>
    <w:p w:rsidR="00822FF7" w:rsidRPr="0002274F" w:rsidRDefault="00822FF7" w:rsidP="00822FF7">
      <w:pPr>
        <w:pStyle w:val="Heading3"/>
        <w:rPr>
          <w:lang w:val="ro-RO"/>
        </w:rPr>
      </w:pPr>
      <w:bookmarkStart w:id="58" w:name="_Toc370211865"/>
      <w:r w:rsidRPr="0002274F">
        <w:rPr>
          <w:lang w:val="ro-RO"/>
        </w:rPr>
        <w:t>Sport și recreere</w:t>
      </w:r>
      <w:bookmarkEnd w:id="56"/>
      <w:bookmarkEnd w:id="57"/>
      <w:bookmarkEnd w:id="58"/>
    </w:p>
    <w:p w:rsidR="00822FF7" w:rsidRDefault="00822FF7" w:rsidP="00822FF7">
      <w:pPr>
        <w:spacing w:after="120"/>
        <w:jc w:val="both"/>
        <w:rPr>
          <w:lang w:val="ro-RO"/>
        </w:rPr>
      </w:pPr>
    </w:p>
    <w:p w:rsidR="00822FF7" w:rsidRPr="0099028E" w:rsidRDefault="00822FF7" w:rsidP="00822FF7">
      <w:pPr>
        <w:spacing w:after="120"/>
        <w:jc w:val="both"/>
        <w:rPr>
          <w:rFonts w:asciiTheme="majorHAnsi" w:hAnsiTheme="majorHAnsi"/>
          <w:lang w:val="ro-RO"/>
        </w:rPr>
      </w:pPr>
      <w:r w:rsidRPr="0075142C">
        <w:rPr>
          <w:rFonts w:asciiTheme="majorHAnsi" w:hAnsiTheme="majorHAnsi"/>
          <w:lang w:val="ro-RO"/>
        </w:rPr>
        <w:t>Aproape două treimi dintre tineri, respectiv 64%, fac sport doar de câteva ori pe lună. Aproape un tânăr din trei declară că nu face sport deloc.</w:t>
      </w:r>
      <w:r w:rsidRPr="00FF6AB9">
        <w:rPr>
          <w:rStyle w:val="FootnoteReference"/>
          <w:noProof/>
          <w:lang w:val="ro-RO"/>
        </w:rPr>
        <w:footnoteReference w:id="48"/>
      </w:r>
    </w:p>
    <w:p w:rsidR="00822FF7" w:rsidRPr="0075142C" w:rsidRDefault="00822FF7" w:rsidP="00822FF7">
      <w:pPr>
        <w:spacing w:after="120"/>
        <w:jc w:val="both"/>
        <w:rPr>
          <w:rFonts w:asciiTheme="majorHAnsi" w:hAnsiTheme="majorHAnsi"/>
          <w:lang w:val="ro-RO"/>
        </w:rPr>
      </w:pPr>
      <w:r w:rsidRPr="0075142C">
        <w:rPr>
          <w:rFonts w:asciiTheme="majorHAnsi" w:hAnsiTheme="majorHAnsi"/>
          <w:lang w:val="ro-RO"/>
        </w:rPr>
        <w:t>Conform datelor Anuarului Sportului 2009, diferenţele între judeţe în ceea ce priveşte dotările cu baze sportive sunt mari, cu o „concentrare” mai mare a acestora în zona de sud şi de centru, şi una mai redusă în zona de vest şi nord-vest. Este interesant, totuşi, că regiunile cu mai puţine baze sportive au organizat mai multe competiţii şcolare în 2008 faţă de regiunile mai dotate din acest punct de vedere.</w:t>
      </w:r>
    </w:p>
    <w:p w:rsidR="00822FF7" w:rsidRDefault="00822FF7" w:rsidP="00822FF7">
      <w:pPr>
        <w:spacing w:after="120"/>
        <w:jc w:val="both"/>
        <w:rPr>
          <w:rFonts w:asciiTheme="majorHAnsi" w:hAnsiTheme="majorHAnsi"/>
          <w:lang w:val="ro-RO"/>
        </w:rPr>
      </w:pPr>
      <w:r w:rsidRPr="0075142C">
        <w:rPr>
          <w:rFonts w:asciiTheme="majorHAnsi" w:hAnsiTheme="majorHAnsi"/>
          <w:lang w:val="ro-RO"/>
        </w:rPr>
        <w:t>Deşi numărul de structuri sportive afiliate federaţiilor de specialitate precum şi numărul de instructori sportivi sau antrenori au crescut între 2005-2009 cu peste 100% şi se constată şi o creştere a numărului de sportivi legitimaţi cu aproximativ 130% în 2009 faţă de 2005, participarea la competiţiile de masă cum ar fi cele şcolare nu este deloc spectaculoasă</w:t>
      </w:r>
      <w:r>
        <w:rPr>
          <w:rFonts w:asciiTheme="majorHAnsi" w:hAnsiTheme="majorHAnsi"/>
          <w:lang w:val="ro-RO"/>
        </w:rPr>
        <w:t>.</w:t>
      </w:r>
    </w:p>
    <w:p w:rsidR="00822FF7" w:rsidRPr="00266809" w:rsidRDefault="00822FF7" w:rsidP="00822FF7">
      <w:pPr>
        <w:spacing w:after="120"/>
        <w:jc w:val="both"/>
        <w:rPr>
          <w:rFonts w:asciiTheme="majorHAnsi" w:hAnsiTheme="majorHAnsi"/>
          <w:lang w:val="ro-RO"/>
        </w:rPr>
      </w:pPr>
      <w:r w:rsidRPr="0099028E">
        <w:rPr>
          <w:rFonts w:asciiTheme="majorHAnsi" w:hAnsiTheme="majorHAnsi"/>
          <w:lang w:val="ro-RO"/>
        </w:rPr>
        <w:lastRenderedPageBreak/>
        <w:t>Deşi numărul de structuri sportive afiliate federaţiilor de specialitate precum şi numărul de instructori sportivi sau antrenori au crescut între 2005-2009 cu peste 100% şi se constată şi o creştere a numărului de sportivi legitimaţi cu aproximativ 130% în 2009 faţă de 2005, participarea la competiţiile de masă cum ar fi cele şcolare nu este deloc spectaculoasă. Doar câteva judeţe din ţară – 6 - se înregistrează cu un număr ceva mai important de participanţi (peste 10.000 anual), în timp ce în majoritatea judeţelor valorile sunt scăzute (14 judeţe au între 3.000 şi 5.000 de participanţi) sau  chiar nesemnificative (9 judeţe raportează mai puţin de 2.000 de participanţi într-un an).</w:t>
      </w:r>
      <w:r w:rsidRPr="00FF6AB9">
        <w:rPr>
          <w:rStyle w:val="FootnoteReference"/>
          <w:lang w:val="ro-RO"/>
        </w:rPr>
        <w:footnoteReference w:id="49"/>
      </w:r>
      <w:r w:rsidRPr="00FF6AB9">
        <w:rPr>
          <w:lang w:val="ro-RO"/>
        </w:rPr>
        <w:t xml:space="preserve"> </w:t>
      </w:r>
    </w:p>
    <w:p w:rsidR="00822FF7" w:rsidRPr="00266809" w:rsidRDefault="00822FF7" w:rsidP="00822FF7">
      <w:pPr>
        <w:spacing w:after="120"/>
        <w:jc w:val="both"/>
        <w:rPr>
          <w:rFonts w:asciiTheme="majorHAnsi" w:hAnsiTheme="majorHAnsi"/>
          <w:lang w:val="ro-RO"/>
        </w:rPr>
      </w:pPr>
      <w:r w:rsidRPr="00266809">
        <w:rPr>
          <w:rFonts w:asciiTheme="majorHAnsi" w:hAnsiTheme="majorHAnsi"/>
          <w:lang w:val="ro-RO"/>
        </w:rPr>
        <w:t>Tinerii se distribuie, cu ponderi între 35% și 22%, între categoria celor care au în jur de 3-4 ore de timp liber zilnic în timpul săptămânii, 1-2 ore sau peste 5 ore</w:t>
      </w:r>
      <w:r w:rsidRPr="00FF6AB9">
        <w:rPr>
          <w:rStyle w:val="FootnoteReference"/>
          <w:lang w:val="ro-RO"/>
        </w:rPr>
        <w:footnoteReference w:id="50"/>
      </w:r>
      <w:r w:rsidRPr="00266809">
        <w:rPr>
          <w:rFonts w:asciiTheme="majorHAnsi" w:hAnsiTheme="majorHAnsi"/>
          <w:lang w:val="ro-RO"/>
        </w:rPr>
        <w:t>. Un procent de 5% declară că nu au timp liber deloc în timpul săptămânii, ceea ce poate constitui un risc pentru sănătatea și dezvoltarea acestor tineri.</w:t>
      </w:r>
    </w:p>
    <w:p w:rsidR="00822FF7" w:rsidRPr="00266809" w:rsidRDefault="00822FF7" w:rsidP="00822FF7">
      <w:pPr>
        <w:spacing w:after="120"/>
        <w:jc w:val="both"/>
        <w:rPr>
          <w:rFonts w:asciiTheme="majorHAnsi" w:hAnsiTheme="majorHAnsi"/>
          <w:lang w:val="ro-RO"/>
        </w:rPr>
      </w:pPr>
      <w:r w:rsidRPr="00266809">
        <w:rPr>
          <w:rFonts w:asciiTheme="majorHAnsi" w:hAnsiTheme="majorHAnsi"/>
          <w:lang w:val="ro-RO"/>
        </w:rPr>
        <w:t xml:space="preserve">Doar un tânăr din 10 declară că nu se vede niciodată cu prietenii; mai mult de o treime se văd cu prietenii de câteva ori pe săptămână, 17% dintre tineri petrec timp cu prietenii zilnic și 22% se văd cu prietenii de 2-3 ori pe lună. Majoritatea tinerilor, respectiv 4/5,  se uită la televizor  zilnic. </w:t>
      </w:r>
    </w:p>
    <w:p w:rsidR="00822FF7" w:rsidRDefault="00822FF7" w:rsidP="00822FF7">
      <w:pPr>
        <w:spacing w:after="120"/>
        <w:jc w:val="both"/>
        <w:rPr>
          <w:rFonts w:asciiTheme="majorHAnsi" w:hAnsiTheme="majorHAnsi"/>
          <w:lang w:val="ro-RO"/>
        </w:rPr>
      </w:pPr>
      <w:r w:rsidRPr="00266809">
        <w:rPr>
          <w:rFonts w:asciiTheme="majorHAnsi" w:hAnsiTheme="majorHAnsi"/>
          <w:lang w:val="ro-RO"/>
        </w:rPr>
        <w:t>66,4% dintre tineri au apreciat ca mulţumitor  modul în care îşi petrec timpul liber, ceea ce arată că tinerii</w:t>
      </w:r>
      <w:r>
        <w:rPr>
          <w:rFonts w:asciiTheme="majorHAnsi" w:hAnsiTheme="majorHAnsi"/>
          <w:lang w:val="ro-RO"/>
        </w:rPr>
        <w:t xml:space="preserve"> au nevoie, pe lângă </w:t>
      </w:r>
      <w:r w:rsidRPr="00266809">
        <w:rPr>
          <w:rFonts w:asciiTheme="majorHAnsi" w:hAnsiTheme="majorHAnsi"/>
          <w:lang w:val="ro-RO"/>
        </w:rPr>
        <w:t>oferte diversificate şi de calitate de petrecerea timpului liber</w:t>
      </w:r>
      <w:r>
        <w:rPr>
          <w:rFonts w:asciiTheme="majorHAnsi" w:hAnsiTheme="majorHAnsi"/>
          <w:lang w:val="ro-RO"/>
        </w:rPr>
        <w:t>,</w:t>
      </w:r>
      <w:r w:rsidRPr="00266809">
        <w:rPr>
          <w:rFonts w:asciiTheme="majorHAnsi" w:hAnsiTheme="majorHAnsi"/>
          <w:lang w:val="ro-RO"/>
        </w:rPr>
        <w:t xml:space="preserve"> d</w:t>
      </w:r>
      <w:r>
        <w:rPr>
          <w:rFonts w:asciiTheme="majorHAnsi" w:hAnsiTheme="majorHAnsi"/>
          <w:lang w:val="ro-RO"/>
        </w:rPr>
        <w:t xml:space="preserve">e </w:t>
      </w:r>
      <w:r w:rsidRPr="00266809">
        <w:rPr>
          <w:rFonts w:asciiTheme="majorHAnsi" w:hAnsiTheme="majorHAnsi"/>
          <w:lang w:val="ro-RO"/>
        </w:rPr>
        <w:t>îndrumare în sensul valorificării depline a timpului liber în propriul lor interes.</w:t>
      </w:r>
    </w:p>
    <w:p w:rsidR="00822FF7" w:rsidRDefault="00822FF7" w:rsidP="00822FF7">
      <w:pPr>
        <w:spacing w:after="120"/>
        <w:jc w:val="both"/>
        <w:rPr>
          <w:rFonts w:asciiTheme="majorHAnsi" w:hAnsiTheme="majorHAnsi"/>
          <w:lang w:val="ro-RO"/>
        </w:rPr>
      </w:pPr>
    </w:p>
    <w:p w:rsidR="00822FF7" w:rsidRPr="00DA6D32" w:rsidRDefault="00822FF7" w:rsidP="00822FF7">
      <w:pPr>
        <w:pStyle w:val="Heading3"/>
        <w:rPr>
          <w:lang w:val="ro-RO"/>
        </w:rPr>
      </w:pPr>
      <w:bookmarkStart w:id="59" w:name="_Toc370211866"/>
      <w:r>
        <w:rPr>
          <w:lang w:val="ro-RO"/>
        </w:rPr>
        <w:t>R</w:t>
      </w:r>
      <w:r w:rsidRPr="00DA6D32">
        <w:rPr>
          <w:lang w:val="ro-RO"/>
        </w:rPr>
        <w:t>ezultate așteptate</w:t>
      </w:r>
      <w:bookmarkEnd w:id="59"/>
    </w:p>
    <w:p w:rsidR="00822FF7" w:rsidRPr="00570FE4" w:rsidRDefault="00822FF7" w:rsidP="00822FF7">
      <w:pPr>
        <w:spacing w:after="120"/>
        <w:jc w:val="both"/>
        <w:rPr>
          <w:rFonts w:asciiTheme="majorHAnsi" w:hAnsiTheme="majorHAnsi"/>
          <w:lang w:val="ro-RO"/>
        </w:rPr>
      </w:pPr>
      <w:r w:rsidRPr="00570FE4">
        <w:rPr>
          <w:rFonts w:asciiTheme="majorHAnsi" w:hAnsiTheme="majorHAnsi"/>
          <w:lang w:val="ro-RO"/>
        </w:rPr>
        <w:t>Strategia pentru tineret îşi propune</w:t>
      </w:r>
      <w:r>
        <w:rPr>
          <w:rFonts w:asciiTheme="majorHAnsi" w:hAnsiTheme="majorHAnsi"/>
          <w:lang w:val="ro-RO"/>
        </w:rPr>
        <w:t>,</w:t>
      </w:r>
      <w:r w:rsidRPr="00570FE4">
        <w:rPr>
          <w:rFonts w:asciiTheme="majorHAnsi" w:hAnsiTheme="majorHAnsi"/>
          <w:lang w:val="ro-RO"/>
        </w:rPr>
        <w:t xml:space="preserve"> </w:t>
      </w:r>
      <w:r>
        <w:rPr>
          <w:rFonts w:asciiTheme="majorHAnsi" w:hAnsiTheme="majorHAnsi"/>
          <w:lang w:val="ro-RO"/>
        </w:rPr>
        <w:t xml:space="preserve">prin obiectivele specifice şi direcţiile sale de acţiune, </w:t>
      </w:r>
      <w:r w:rsidRPr="00570FE4">
        <w:rPr>
          <w:rFonts w:asciiTheme="majorHAnsi" w:hAnsiTheme="majorHAnsi"/>
          <w:lang w:val="ro-RO"/>
        </w:rPr>
        <w:t>să acorde o importanţă semnificativă dezvoltării unui tineret sănătos fizic şi mental, promovând idealul ”minte sănătoasă în corp sănătos” şi valorificând în acest scop resursele asigurate prin oferta de petrecere a timpului liber şi prin practicarea sportului.</w:t>
      </w:r>
    </w:p>
    <w:p w:rsidR="00822FF7" w:rsidRDefault="00822FF7" w:rsidP="00822FF7">
      <w:pPr>
        <w:spacing w:after="120"/>
        <w:jc w:val="both"/>
        <w:rPr>
          <w:rFonts w:asciiTheme="majorHAnsi" w:hAnsiTheme="majorHAnsi"/>
          <w:lang w:val="ro-RO"/>
        </w:rPr>
      </w:pPr>
      <w:r w:rsidRPr="00E20A74">
        <w:rPr>
          <w:rFonts w:asciiTheme="majorHAnsi" w:hAnsiTheme="majorHAnsi"/>
          <w:lang w:val="ro-RO"/>
        </w:rPr>
        <w:t>Principala pr</w:t>
      </w:r>
      <w:r>
        <w:rPr>
          <w:rFonts w:asciiTheme="majorHAnsi" w:hAnsiTheme="majorHAnsi"/>
          <w:lang w:val="ro-RO"/>
        </w:rPr>
        <w:t>eocupare</w:t>
      </w:r>
      <w:r w:rsidRPr="00E20A74">
        <w:rPr>
          <w:rFonts w:asciiTheme="majorHAnsi" w:hAnsiTheme="majorHAnsi"/>
          <w:lang w:val="ro-RO"/>
        </w:rPr>
        <w:t xml:space="preserve"> pe ansamblul populaţiei de tineri o constituie îmbunătăţirea educaţiei pentru sănătate, a planificării familiale și a asistenţei medicale pentru mame și copii. Numărul mare de nașteri și avorturi înregistrat în cazul unor tinere sub 19 ani constituie un semnal de alarmă iar reducerea o provocare specială</w:t>
      </w:r>
      <w:r>
        <w:rPr>
          <w:rFonts w:asciiTheme="majorHAnsi" w:hAnsiTheme="majorHAnsi"/>
          <w:lang w:val="ro-RO"/>
        </w:rPr>
        <w:t xml:space="preserve"> pentru această Strategie</w:t>
      </w:r>
      <w:r w:rsidRPr="00E20A74">
        <w:rPr>
          <w:rFonts w:asciiTheme="majorHAnsi" w:hAnsiTheme="majorHAnsi"/>
          <w:lang w:val="ro-RO"/>
        </w:rPr>
        <w:t xml:space="preserve">.  </w:t>
      </w:r>
    </w:p>
    <w:p w:rsidR="00822FF7" w:rsidRDefault="00822FF7" w:rsidP="00822FF7">
      <w:pPr>
        <w:spacing w:after="120"/>
        <w:jc w:val="both"/>
        <w:rPr>
          <w:rFonts w:asciiTheme="majorHAnsi" w:hAnsiTheme="majorHAnsi"/>
          <w:lang w:val="ro-RO"/>
        </w:rPr>
      </w:pPr>
      <w:r>
        <w:rPr>
          <w:rFonts w:asciiTheme="majorHAnsi" w:hAnsiTheme="majorHAnsi"/>
          <w:lang w:val="ro-RO"/>
        </w:rPr>
        <w:t>Strategia urmărește să aducă o contribuție importantă la protecția prin măsuri specifice a tinerilor cu HIV/SIDA și a tinerilor cu risc de suicid</w:t>
      </w:r>
      <w:r w:rsidRPr="009346D8">
        <w:rPr>
          <w:rFonts w:asciiTheme="majorHAnsi" w:hAnsiTheme="majorHAnsi"/>
          <w:lang w:val="ro-RO"/>
        </w:rPr>
        <w:t xml:space="preserve">, în sistemul decizional existând preocupări în această direcţie în ultimul timp. </w:t>
      </w:r>
    </w:p>
    <w:p w:rsidR="00822FF7" w:rsidRPr="00E20A74" w:rsidRDefault="00822FF7" w:rsidP="00822FF7">
      <w:pPr>
        <w:spacing w:after="120"/>
        <w:jc w:val="both"/>
        <w:rPr>
          <w:rFonts w:asciiTheme="majorHAnsi" w:hAnsiTheme="majorHAnsi"/>
          <w:lang w:val="ro-RO"/>
        </w:rPr>
      </w:pPr>
      <w:r>
        <w:rPr>
          <w:rFonts w:asciiTheme="majorHAnsi" w:hAnsiTheme="majorHAnsi"/>
          <w:lang w:val="ro-RO"/>
        </w:rPr>
        <w:t>Strategia prevede c</w:t>
      </w:r>
      <w:r w:rsidRPr="00E20A74">
        <w:rPr>
          <w:rFonts w:asciiTheme="majorHAnsi" w:hAnsiTheme="majorHAnsi"/>
          <w:lang w:val="ro-RO"/>
        </w:rPr>
        <w:t>ombaterea comportamentelor care denotă un stil de viaţă nesănătos, precum fumatul, consumul de fast-food și de alcool, consumul de substanţe psiho-active</w:t>
      </w:r>
      <w:r>
        <w:rPr>
          <w:rFonts w:asciiTheme="majorHAnsi" w:hAnsiTheme="majorHAnsi"/>
          <w:lang w:val="ro-RO"/>
        </w:rPr>
        <w:t xml:space="preserve">, </w:t>
      </w:r>
      <w:r w:rsidRPr="00E20A74">
        <w:rPr>
          <w:rFonts w:asciiTheme="majorHAnsi" w:hAnsiTheme="majorHAnsi"/>
          <w:lang w:val="ro-RO"/>
        </w:rPr>
        <w:t xml:space="preserve"> </w:t>
      </w:r>
      <w:r>
        <w:rPr>
          <w:rFonts w:asciiTheme="majorHAnsi" w:hAnsiTheme="majorHAnsi"/>
          <w:lang w:val="ro-RO"/>
        </w:rPr>
        <w:t xml:space="preserve">diminuarea așteptată a răspândirii lor constituind o </w:t>
      </w:r>
      <w:r w:rsidRPr="00E20A74">
        <w:rPr>
          <w:rFonts w:asciiTheme="majorHAnsi" w:hAnsiTheme="majorHAnsi"/>
          <w:lang w:val="ro-RO"/>
        </w:rPr>
        <w:t xml:space="preserve">provocare </w:t>
      </w:r>
      <w:r>
        <w:rPr>
          <w:rFonts w:asciiTheme="majorHAnsi" w:hAnsiTheme="majorHAnsi"/>
          <w:lang w:val="ro-RO"/>
        </w:rPr>
        <w:t>serioasă</w:t>
      </w:r>
      <w:r w:rsidRPr="00E20A74">
        <w:rPr>
          <w:rFonts w:asciiTheme="majorHAnsi" w:hAnsiTheme="majorHAnsi"/>
          <w:lang w:val="ro-RO"/>
        </w:rPr>
        <w:t xml:space="preserve"> în condiţiile în care acestea sunt promovate prin intermediul diferitelor sub-culturi răspândite printre tineri, iar unele şi prin publicitate agresivă.</w:t>
      </w:r>
    </w:p>
    <w:p w:rsidR="00822FF7" w:rsidRPr="00E20A74" w:rsidRDefault="00822FF7" w:rsidP="00822FF7">
      <w:pPr>
        <w:spacing w:after="120"/>
        <w:jc w:val="both"/>
        <w:rPr>
          <w:rFonts w:asciiTheme="majorHAnsi" w:hAnsiTheme="majorHAnsi"/>
          <w:lang w:val="ro-RO"/>
        </w:rPr>
      </w:pPr>
      <w:r>
        <w:rPr>
          <w:rFonts w:asciiTheme="majorHAnsi" w:hAnsiTheme="majorHAnsi"/>
          <w:lang w:val="ro-RO"/>
        </w:rPr>
        <w:lastRenderedPageBreak/>
        <w:t>Strategia urmărește de asemenea creșterea practicării</w:t>
      </w:r>
      <w:r w:rsidRPr="00E20A74">
        <w:rPr>
          <w:rFonts w:asciiTheme="majorHAnsi" w:hAnsiTheme="majorHAnsi"/>
          <w:lang w:val="ro-RO"/>
        </w:rPr>
        <w:t xml:space="preserve"> sportului </w:t>
      </w:r>
      <w:r>
        <w:rPr>
          <w:rFonts w:asciiTheme="majorHAnsi" w:hAnsiTheme="majorHAnsi"/>
          <w:lang w:val="ro-RO"/>
        </w:rPr>
        <w:t>de către tineri, atât ca</w:t>
      </w:r>
      <w:r w:rsidRPr="00E20A74">
        <w:rPr>
          <w:rFonts w:asciiTheme="majorHAnsi" w:hAnsiTheme="majorHAnsi"/>
          <w:lang w:val="ro-RO"/>
        </w:rPr>
        <w:t xml:space="preserve"> oportunitate de combatere a diferit</w:t>
      </w:r>
      <w:r>
        <w:rPr>
          <w:rFonts w:asciiTheme="majorHAnsi" w:hAnsiTheme="majorHAnsi"/>
          <w:lang w:val="ro-RO"/>
        </w:rPr>
        <w:t>elor patologii sociale cât și ca</w:t>
      </w:r>
      <w:r w:rsidRPr="00E20A74">
        <w:rPr>
          <w:rFonts w:asciiTheme="majorHAnsi" w:hAnsiTheme="majorHAnsi"/>
          <w:lang w:val="ro-RO"/>
        </w:rPr>
        <w:t xml:space="preserve"> mijloc de dezvoltare s</w:t>
      </w:r>
      <w:r>
        <w:rPr>
          <w:rFonts w:asciiTheme="majorHAnsi" w:hAnsiTheme="majorHAnsi"/>
          <w:lang w:val="ro-RO"/>
        </w:rPr>
        <w:t>ocială și biologică a tinerilor.</w:t>
      </w:r>
      <w:r w:rsidRPr="00E20A74">
        <w:rPr>
          <w:rFonts w:asciiTheme="majorHAnsi" w:hAnsiTheme="majorHAnsi"/>
          <w:lang w:val="ro-RO"/>
        </w:rPr>
        <w:t xml:space="preserve"> </w:t>
      </w:r>
    </w:p>
    <w:p w:rsidR="00822FF7" w:rsidRPr="00E20A74" w:rsidRDefault="00822FF7" w:rsidP="00822FF7">
      <w:pPr>
        <w:spacing w:after="120"/>
        <w:jc w:val="both"/>
        <w:rPr>
          <w:rFonts w:asciiTheme="majorHAnsi" w:hAnsiTheme="majorHAnsi"/>
          <w:lang w:val="ro-RO"/>
        </w:rPr>
      </w:pPr>
      <w:r w:rsidRPr="00E20A74">
        <w:rPr>
          <w:rFonts w:asciiTheme="majorHAnsi" w:hAnsiTheme="majorHAnsi"/>
          <w:lang w:val="ro-RO"/>
        </w:rPr>
        <w:t xml:space="preserve">Modul în care își petrec tinerii timpul liber, conform datelor de cercetare, arată că aceștia au nevoie de oferte diversificate şi de calitate de petrecerea timpului liber şi </w:t>
      </w:r>
      <w:r>
        <w:rPr>
          <w:rFonts w:asciiTheme="majorHAnsi" w:hAnsiTheme="majorHAnsi"/>
          <w:lang w:val="ro-RO"/>
        </w:rPr>
        <w:t>consiliere</w:t>
      </w:r>
      <w:r w:rsidRPr="00E20A74">
        <w:rPr>
          <w:rFonts w:asciiTheme="majorHAnsi" w:hAnsiTheme="majorHAnsi"/>
          <w:lang w:val="ro-RO"/>
        </w:rPr>
        <w:t xml:space="preserve"> în sensul valorificării depline a timpulu</w:t>
      </w:r>
      <w:r>
        <w:rPr>
          <w:rFonts w:asciiTheme="majorHAnsi" w:hAnsiTheme="majorHAnsi"/>
          <w:lang w:val="ro-RO"/>
        </w:rPr>
        <w:t xml:space="preserve">i liber în propriul lor interes, Strategia propunându-și să conducă la implementarea acestor obiective. </w:t>
      </w:r>
    </w:p>
    <w:p w:rsidR="00822FF7" w:rsidRDefault="00822FF7" w:rsidP="00822FF7">
      <w:pPr>
        <w:spacing w:after="120"/>
        <w:jc w:val="both"/>
        <w:rPr>
          <w:rFonts w:asciiTheme="majorHAnsi" w:hAnsiTheme="majorHAnsi"/>
          <w:lang w:val="ro-RO"/>
        </w:rPr>
      </w:pPr>
    </w:p>
    <w:p w:rsidR="00DF75C3" w:rsidRDefault="00822FF7" w:rsidP="00822FF7">
      <w:pPr>
        <w:pStyle w:val="Heading2"/>
        <w:spacing w:after="120"/>
        <w:rPr>
          <w:lang w:val="ro-RO"/>
        </w:rPr>
      </w:pPr>
      <w:bookmarkStart w:id="60" w:name="_Toc243570854"/>
      <w:bookmarkStart w:id="61" w:name="_Toc370211867"/>
      <w:r w:rsidRPr="0002274F">
        <w:rPr>
          <w:lang w:val="ro-RO"/>
        </w:rPr>
        <w:t>Participare și voluntariat</w:t>
      </w:r>
      <w:bookmarkEnd w:id="60"/>
      <w:bookmarkEnd w:id="61"/>
    </w:p>
    <w:p w:rsidR="00822FF7" w:rsidRPr="00DF75C3" w:rsidRDefault="00822FF7" w:rsidP="00DF75C3"/>
    <w:p w:rsidR="00822FF7" w:rsidRDefault="00822FF7" w:rsidP="00822FF7">
      <w:pPr>
        <w:spacing w:after="120"/>
        <w:jc w:val="both"/>
        <w:rPr>
          <w:rFonts w:asciiTheme="majorHAnsi" w:hAnsiTheme="majorHAnsi"/>
          <w:lang w:val="ro-RO"/>
        </w:rPr>
      </w:pPr>
      <w:r w:rsidRPr="00DF7260">
        <w:rPr>
          <w:rFonts w:asciiTheme="majorHAnsi" w:hAnsiTheme="majorHAnsi"/>
          <w:lang w:val="ro-RO"/>
        </w:rPr>
        <w:t>România se încadrează în grupa ţărilor europene cu cel mai scăzut nivel de implicare în activităţile voluntare (alături de Grecia, Italia, Ungaria, Polonia și Suedia), mai puţin de un tânăr din cinci derulând astfel de activităţi.</w:t>
      </w:r>
      <w:r w:rsidRPr="00FF6AB9">
        <w:rPr>
          <w:rStyle w:val="FootnoteReference"/>
          <w:noProof/>
          <w:lang w:val="ro-RO"/>
        </w:rPr>
        <w:footnoteReference w:id="51"/>
      </w:r>
      <w:r w:rsidRPr="00FF6AB9">
        <w:rPr>
          <w:noProof/>
          <w:lang w:val="ro-RO"/>
        </w:rPr>
        <w:t xml:space="preserve"> </w:t>
      </w:r>
      <w:r w:rsidRPr="002362B5">
        <w:rPr>
          <w:rFonts w:asciiTheme="majorHAnsi" w:hAnsiTheme="majorHAnsi"/>
          <w:lang w:val="ro-RO"/>
        </w:rPr>
        <w:t>29% dintre tineri</w:t>
      </w:r>
      <w:r>
        <w:rPr>
          <w:rFonts w:asciiTheme="majorHAnsi" w:hAnsiTheme="majorHAnsi"/>
          <w:lang w:val="ro-RO"/>
        </w:rPr>
        <w:t xml:space="preserve"> </w:t>
      </w:r>
      <w:r w:rsidRPr="002362B5">
        <w:rPr>
          <w:rFonts w:asciiTheme="majorHAnsi" w:hAnsiTheme="majorHAnsi"/>
          <w:lang w:val="ro-RO"/>
        </w:rPr>
        <w:t>declară că ar fi dispuși să participe ca voluntari într-o organizaţie neguvernamentală, precum o asociaţie sau o fundaţie</w:t>
      </w:r>
      <w:r>
        <w:rPr>
          <w:rStyle w:val="FootnoteReference"/>
          <w:rFonts w:asciiTheme="majorHAnsi" w:hAnsiTheme="majorHAnsi"/>
          <w:lang w:val="ro-RO"/>
        </w:rPr>
        <w:footnoteReference w:id="52"/>
      </w:r>
      <w:r w:rsidRPr="002362B5">
        <w:rPr>
          <w:rFonts w:asciiTheme="majorHAnsi" w:hAnsiTheme="majorHAnsi"/>
          <w:lang w:val="ro-RO"/>
        </w:rPr>
        <w:t xml:space="preserve">. Majoritatea dau un răspuns negativ (53%), iar alţii nu sunt hotărâţi dacă ar fi dispuși să facă acest lucru (16%). Aproape 4 tineri din 5 nu cunosc niciun ONG activ în localitatea proprie în timp ce 5% fac parte dintr-un ONG. Cei mai mulţi tineri cred că principala măsură care ar trebui întreprinsă pentru încurajarea participării tinerilor la activităţi de voluntariat ar fi cea de informare a tinerilor privind posibilităţile de participare (aproape jumătate dintre tineri). </w:t>
      </w:r>
    </w:p>
    <w:p w:rsidR="00822FF7" w:rsidRPr="00FF6AB9" w:rsidRDefault="00822FF7" w:rsidP="00822FF7">
      <w:pPr>
        <w:widowControl w:val="0"/>
        <w:autoSpaceDE w:val="0"/>
        <w:autoSpaceDN w:val="0"/>
        <w:adjustRightInd w:val="0"/>
        <w:jc w:val="both"/>
        <w:rPr>
          <w:noProof/>
          <w:lang w:val="ro-RO"/>
        </w:rPr>
      </w:pPr>
      <w:r>
        <w:rPr>
          <w:rFonts w:asciiTheme="majorHAnsi" w:hAnsiTheme="majorHAnsi"/>
          <w:lang w:val="ro-RO"/>
        </w:rPr>
        <w:t>M</w:t>
      </w:r>
      <w:r w:rsidRPr="00410A45">
        <w:rPr>
          <w:rFonts w:asciiTheme="majorHAnsi" w:hAnsiTheme="majorHAnsi"/>
          <w:lang w:val="ro-RO"/>
        </w:rPr>
        <w:t>ajoritatea tinerilor nu sunt interesaţi deloc sau sunt interesaţi în mică măsură de viaţa politică</w:t>
      </w:r>
      <w:r>
        <w:rPr>
          <w:rStyle w:val="FootnoteReference"/>
          <w:rFonts w:asciiTheme="majorHAnsi" w:hAnsiTheme="majorHAnsi"/>
          <w:lang w:val="ro-RO"/>
        </w:rPr>
        <w:footnoteReference w:id="53"/>
      </w:r>
      <w:r w:rsidRPr="00410A45">
        <w:rPr>
          <w:rFonts w:asciiTheme="majorHAnsi" w:hAnsiTheme="majorHAnsi"/>
          <w:lang w:val="ro-RO"/>
        </w:rPr>
        <w:t>. Cel mai puţin interes este atras de politica la nivel european, urmată de cea la nivel local și naţional (ponderea tinerilor neinteresaţi sau puţin interesaţi este de peste 60% în toate cele 3 cazuri). Totuși, deciziiile concrete luate de autorităţile centrale suscită mai mult interes, mai mult de jumătate dintre tineri declarându-se interesaţi de acestea.</w:t>
      </w:r>
    </w:p>
    <w:p w:rsidR="00822FF7" w:rsidRDefault="00822FF7" w:rsidP="00822FF7">
      <w:pPr>
        <w:spacing w:after="120"/>
        <w:jc w:val="both"/>
        <w:rPr>
          <w:rFonts w:asciiTheme="majorHAnsi" w:hAnsiTheme="majorHAnsi"/>
          <w:lang w:val="ro-RO"/>
        </w:rPr>
      </w:pPr>
    </w:p>
    <w:p w:rsidR="00822FF7" w:rsidRDefault="00822FF7" w:rsidP="00822FF7">
      <w:pPr>
        <w:pStyle w:val="Heading3"/>
        <w:spacing w:before="0" w:after="120"/>
        <w:rPr>
          <w:lang w:val="ro-RO"/>
        </w:rPr>
      </w:pPr>
    </w:p>
    <w:p w:rsidR="00822FF7" w:rsidRPr="00822FF7" w:rsidRDefault="00822FF7" w:rsidP="00822FF7">
      <w:pPr>
        <w:pStyle w:val="Heading3"/>
        <w:spacing w:before="0" w:after="120"/>
        <w:rPr>
          <w:lang w:val="ro-RO"/>
        </w:rPr>
      </w:pPr>
      <w:bookmarkStart w:id="62" w:name="_Toc370211868"/>
      <w:r>
        <w:rPr>
          <w:lang w:val="ro-RO"/>
        </w:rPr>
        <w:t>R</w:t>
      </w:r>
      <w:r w:rsidRPr="00DA6D32">
        <w:rPr>
          <w:lang w:val="ro-RO"/>
        </w:rPr>
        <w:t>ezultate așteptate</w:t>
      </w:r>
      <w:bookmarkEnd w:id="62"/>
    </w:p>
    <w:p w:rsidR="00822FF7" w:rsidRDefault="00822FF7" w:rsidP="00822FF7">
      <w:pPr>
        <w:widowControl w:val="0"/>
        <w:autoSpaceDE w:val="0"/>
        <w:autoSpaceDN w:val="0"/>
        <w:adjustRightInd w:val="0"/>
        <w:spacing w:after="120"/>
        <w:jc w:val="both"/>
        <w:rPr>
          <w:rFonts w:asciiTheme="majorHAnsi" w:hAnsiTheme="majorHAnsi"/>
          <w:lang w:val="ro-RO"/>
        </w:rPr>
      </w:pPr>
      <w:r w:rsidRPr="00CF66D6">
        <w:rPr>
          <w:rFonts w:asciiTheme="majorHAnsi" w:hAnsiTheme="majorHAnsi"/>
          <w:lang w:val="ro-RO"/>
        </w:rPr>
        <w:t>Strategia îşi propune</w:t>
      </w:r>
      <w:r>
        <w:rPr>
          <w:rFonts w:asciiTheme="majorHAnsi" w:hAnsiTheme="majorHAnsi"/>
          <w:lang w:val="ro-RO"/>
        </w:rPr>
        <w:t>, prin obiectivele sale specifice și direcțiile de acțiune,</w:t>
      </w:r>
      <w:r w:rsidRPr="00CF66D6">
        <w:rPr>
          <w:rFonts w:asciiTheme="majorHAnsi" w:hAnsiTheme="majorHAnsi"/>
          <w:lang w:val="ro-RO"/>
        </w:rPr>
        <w:t xml:space="preserve"> susţinerea dezvoltării tinerilor din România prin implicarea in acţiuni de voluntariat şi prin participarea civică activă, creând </w:t>
      </w:r>
      <w:r>
        <w:rPr>
          <w:rFonts w:asciiTheme="majorHAnsi" w:hAnsiTheme="majorHAnsi"/>
          <w:lang w:val="ro-RO"/>
        </w:rPr>
        <w:t xml:space="preserve">cadrul operațional și </w:t>
      </w:r>
      <w:r w:rsidRPr="00CF66D6">
        <w:rPr>
          <w:rFonts w:asciiTheme="majorHAnsi" w:hAnsiTheme="majorHAnsi"/>
          <w:lang w:val="ro-RO"/>
        </w:rPr>
        <w:t>cadrul legislativ necesar implementării de politici care să utilizeze toate resursele existente şi să implice toţi actorii interesaţi în vederea realizării acestui deziderat.</w:t>
      </w:r>
    </w:p>
    <w:p w:rsidR="00822FF7" w:rsidRPr="00CF66D6" w:rsidRDefault="00822FF7" w:rsidP="00822FF7">
      <w:pPr>
        <w:widowControl w:val="0"/>
        <w:autoSpaceDE w:val="0"/>
        <w:autoSpaceDN w:val="0"/>
        <w:adjustRightInd w:val="0"/>
        <w:spacing w:after="120"/>
        <w:jc w:val="both"/>
        <w:rPr>
          <w:rFonts w:asciiTheme="majorHAnsi" w:hAnsiTheme="majorHAnsi"/>
          <w:lang w:val="ro-RO"/>
        </w:rPr>
      </w:pPr>
      <w:r w:rsidRPr="00F93DC4">
        <w:rPr>
          <w:rFonts w:asciiTheme="majorHAnsi" w:hAnsiTheme="majorHAnsi"/>
          <w:lang w:val="ro-RO"/>
        </w:rPr>
        <w:t>Pe lâng</w:t>
      </w:r>
      <w:r>
        <w:rPr>
          <w:rFonts w:asciiTheme="majorHAnsi" w:hAnsiTheme="majorHAnsi"/>
          <w:lang w:val="ro-RO"/>
        </w:rPr>
        <w:t xml:space="preserve">ă </w:t>
      </w:r>
      <w:r w:rsidRPr="00F93DC4">
        <w:rPr>
          <w:rFonts w:asciiTheme="majorHAnsi" w:hAnsiTheme="majorHAnsi"/>
          <w:lang w:val="ro-RO"/>
        </w:rPr>
        <w:t>provocarea creșterii implicării tinerilor, în perioada următoare</w:t>
      </w:r>
      <w:r>
        <w:rPr>
          <w:rFonts w:asciiTheme="majorHAnsi" w:hAnsiTheme="majorHAnsi"/>
          <w:lang w:val="ro-RO"/>
        </w:rPr>
        <w:t xml:space="preserve"> Strategia prevede adresarea unor</w:t>
      </w:r>
      <w:r w:rsidRPr="00F93DC4">
        <w:rPr>
          <w:rFonts w:asciiTheme="majorHAnsi" w:hAnsiTheme="majorHAnsi"/>
          <w:lang w:val="ro-RO"/>
        </w:rPr>
        <w:t xml:space="preserve"> probleme specifice legate de organizarea și recunoașterea formală a activităţilor de voluntariat, valorizarea lor scăzută la nivelul societăţii românești reflectându-se și în lipsa de </w:t>
      </w:r>
      <w:r w:rsidRPr="00F93DC4">
        <w:rPr>
          <w:rFonts w:asciiTheme="majorHAnsi" w:hAnsiTheme="majorHAnsi"/>
          <w:lang w:val="ro-RO"/>
        </w:rPr>
        <w:lastRenderedPageBreak/>
        <w:t>calitate în legislaţia specific</w:t>
      </w:r>
      <w:r>
        <w:rPr>
          <w:rFonts w:asciiTheme="majorHAnsi" w:hAnsiTheme="majorHAnsi"/>
          <w:lang w:val="ro-RO"/>
        </w:rPr>
        <w:t>ă</w:t>
      </w:r>
      <w:r w:rsidRPr="00F93DC4">
        <w:rPr>
          <w:rFonts w:asciiTheme="majorHAnsi" w:hAnsiTheme="majorHAnsi"/>
          <w:lang w:val="ro-RO"/>
        </w:rPr>
        <w:t xml:space="preserve">. </w:t>
      </w:r>
      <w:r>
        <w:rPr>
          <w:rFonts w:asciiTheme="majorHAnsi" w:hAnsiTheme="majorHAnsi"/>
          <w:lang w:val="ro-RO"/>
        </w:rPr>
        <w:t>C</w:t>
      </w:r>
      <w:r w:rsidRPr="00F93DC4">
        <w:rPr>
          <w:rFonts w:asciiTheme="majorHAnsi" w:hAnsiTheme="majorHAnsi"/>
          <w:lang w:val="ro-RO"/>
        </w:rPr>
        <w:t xml:space="preserve">ea mai importantă direcţie </w:t>
      </w:r>
      <w:r>
        <w:rPr>
          <w:rFonts w:asciiTheme="majorHAnsi" w:hAnsiTheme="majorHAnsi"/>
          <w:lang w:val="ro-RO"/>
        </w:rPr>
        <w:t xml:space="preserve">în vederea schimbării percepției tinerilor de a fi </w:t>
      </w:r>
      <w:r w:rsidRPr="00F93DC4">
        <w:rPr>
          <w:rFonts w:asciiTheme="majorHAnsi" w:hAnsiTheme="majorHAnsi"/>
          <w:lang w:val="ro-RO"/>
        </w:rPr>
        <w:t>decuplaţi de la deciziile importante ale societăţ</w:t>
      </w:r>
      <w:r>
        <w:rPr>
          <w:rFonts w:asciiTheme="majorHAnsi" w:hAnsiTheme="majorHAnsi"/>
          <w:lang w:val="ro-RO"/>
        </w:rPr>
        <w:t xml:space="preserve">ii, </w:t>
      </w:r>
      <w:r w:rsidRPr="00F93DC4">
        <w:rPr>
          <w:rFonts w:asciiTheme="majorHAnsi" w:hAnsiTheme="majorHAnsi"/>
          <w:lang w:val="ro-RO"/>
        </w:rPr>
        <w:t xml:space="preserve">este </w:t>
      </w:r>
      <w:r>
        <w:rPr>
          <w:rFonts w:asciiTheme="majorHAnsi" w:hAnsiTheme="majorHAnsi"/>
          <w:lang w:val="ro-RO"/>
        </w:rPr>
        <w:t>valorizare</w:t>
      </w:r>
      <w:r w:rsidRPr="00F93DC4">
        <w:rPr>
          <w:rFonts w:asciiTheme="majorHAnsi" w:hAnsiTheme="majorHAnsi"/>
          <w:lang w:val="ro-RO"/>
        </w:rPr>
        <w:t>a implicării acestora, de la structurile de conducere până la problemele din comunităţile de apartenenţă. Școala, sectorul ONG și structurile administrative centrale și locale au fiecare responsabilităţile proprii în acest efort de revalorificare a potenţialului tinerilor de a genera dezvoltare socială sustenabilă.</w:t>
      </w:r>
    </w:p>
    <w:p w:rsidR="00822FF7" w:rsidRDefault="00822FF7" w:rsidP="00822FF7">
      <w:pPr>
        <w:spacing w:after="120"/>
        <w:jc w:val="both"/>
        <w:rPr>
          <w:rFonts w:asciiTheme="majorHAnsi" w:hAnsiTheme="majorHAnsi"/>
          <w:lang w:val="ro-RO"/>
        </w:rPr>
      </w:pPr>
    </w:p>
    <w:p w:rsidR="00822FF7" w:rsidRPr="00FC5C69" w:rsidRDefault="00822FF7" w:rsidP="00822FF7">
      <w:pPr>
        <w:pStyle w:val="Heading2"/>
      </w:pPr>
      <w:bookmarkStart w:id="63" w:name="_Toc243570855"/>
      <w:bookmarkStart w:id="64" w:name="_Toc370211869"/>
      <w:r>
        <w:t xml:space="preserve">Categorii de tineri afectate de excluziune </w:t>
      </w:r>
      <w:r w:rsidRPr="00FC5C69">
        <w:t>social</w:t>
      </w:r>
      <w:bookmarkEnd w:id="63"/>
      <w:r>
        <w:t>ă</w:t>
      </w:r>
      <w:r w:rsidRPr="004472AA">
        <w:rPr>
          <w:rStyle w:val="FootnoteReference"/>
          <w:rFonts w:eastAsiaTheme="minorHAnsi" w:cstheme="minorBidi"/>
          <w:b w:val="0"/>
          <w:bCs w:val="0"/>
          <w:color w:val="auto"/>
          <w:sz w:val="22"/>
          <w:szCs w:val="24"/>
          <w:lang w:val="ro-RO"/>
        </w:rPr>
        <w:footnoteReference w:id="54"/>
      </w:r>
      <w:bookmarkEnd w:id="64"/>
      <w:r w:rsidRPr="004472AA">
        <w:rPr>
          <w:rStyle w:val="FootnoteReference"/>
          <w:rFonts w:eastAsiaTheme="minorHAnsi" w:cstheme="minorBidi"/>
          <w:b w:val="0"/>
          <w:bCs w:val="0"/>
          <w:color w:val="auto"/>
          <w:sz w:val="22"/>
          <w:szCs w:val="24"/>
          <w:lang w:val="ro-RO"/>
        </w:rPr>
        <w:t xml:space="preserve"> </w:t>
      </w:r>
    </w:p>
    <w:p w:rsidR="00822FF7" w:rsidRDefault="00822FF7" w:rsidP="00822FF7">
      <w:pPr>
        <w:spacing w:after="120"/>
        <w:jc w:val="both"/>
        <w:rPr>
          <w:rFonts w:asciiTheme="majorHAnsi" w:hAnsiTheme="majorHAnsi"/>
          <w:lang w:val="ro-RO"/>
        </w:rPr>
      </w:pPr>
    </w:p>
    <w:p w:rsidR="00822FF7" w:rsidRPr="0072163E" w:rsidRDefault="00822FF7" w:rsidP="00822FF7">
      <w:pPr>
        <w:pStyle w:val="ListParagraph"/>
        <w:numPr>
          <w:ilvl w:val="0"/>
          <w:numId w:val="42"/>
        </w:numPr>
        <w:spacing w:after="120" w:line="240" w:lineRule="auto"/>
        <w:ind w:left="567" w:hanging="283"/>
        <w:contextualSpacing/>
        <w:jc w:val="both"/>
        <w:rPr>
          <w:rFonts w:asciiTheme="majorHAnsi" w:hAnsiTheme="majorHAnsi"/>
          <w:lang w:val="ro-RO"/>
        </w:rPr>
      </w:pPr>
      <w:r w:rsidRPr="0072163E">
        <w:rPr>
          <w:rFonts w:asciiTheme="majorHAnsi" w:hAnsiTheme="majorHAnsi"/>
          <w:lang w:val="ro-RO"/>
        </w:rPr>
        <w:t xml:space="preserve">Fenomenul </w:t>
      </w:r>
      <w:r w:rsidRPr="0072163E">
        <w:rPr>
          <w:rFonts w:asciiTheme="majorHAnsi" w:hAnsiTheme="majorHAnsi"/>
          <w:b/>
          <w:lang w:val="ro-RO"/>
        </w:rPr>
        <w:t>persoanelor fără adăpost</w:t>
      </w:r>
      <w:r w:rsidRPr="004A4E46">
        <w:rPr>
          <w:rStyle w:val="FootnoteReference"/>
          <w:rFonts w:asciiTheme="majorHAnsi" w:hAnsiTheme="majorHAnsi" w:cs="Cambria"/>
          <w:lang w:val="ro-RO"/>
        </w:rPr>
        <w:footnoteReference w:id="55"/>
      </w:r>
      <w:r w:rsidRPr="0072163E">
        <w:rPr>
          <w:rFonts w:asciiTheme="majorHAnsi" w:hAnsiTheme="majorHAnsi"/>
          <w:lang w:val="ro-RO"/>
        </w:rPr>
        <w:t xml:space="preserve"> s-a cronicizat în ultimele două decenii. Nu există statistici oficiale ale numărului de copii  şi tineri care trăiesc pe străzi. În anul 2009, Organizaţia „Salvaţi Copiii” a realizat o estimare în trei oraşe mari ale  ţării, Bucureşti, Braşov  şi Constanţa. Numărul de copii astfel identificaţi s‐a ridicat la circa 1400. Marea majoritate sunt în capitală (în jur de 1.150). Mai puţin de jumătate sunt copii (0‐17 ani), cei mai mulţi fiind tineri de 18‐35 ani. </w:t>
      </w:r>
      <w:bookmarkStart w:id="65" w:name="_Toc239222861"/>
    </w:p>
    <w:bookmarkEnd w:id="65"/>
    <w:p w:rsidR="00822FF7" w:rsidRPr="0072163E" w:rsidRDefault="00822FF7" w:rsidP="00822FF7">
      <w:pPr>
        <w:pStyle w:val="ListParagraph"/>
        <w:numPr>
          <w:ilvl w:val="0"/>
          <w:numId w:val="42"/>
        </w:numPr>
        <w:spacing w:after="120" w:line="240" w:lineRule="auto"/>
        <w:ind w:left="567" w:hanging="283"/>
        <w:contextualSpacing/>
        <w:jc w:val="both"/>
        <w:rPr>
          <w:rFonts w:asciiTheme="majorHAnsi" w:hAnsiTheme="majorHAnsi"/>
          <w:lang w:val="ro-RO"/>
        </w:rPr>
      </w:pPr>
      <w:r w:rsidRPr="0072163E">
        <w:rPr>
          <w:rFonts w:asciiTheme="majorHAnsi" w:hAnsiTheme="majorHAnsi"/>
          <w:lang w:val="ro-RO"/>
        </w:rPr>
        <w:t xml:space="preserve">Există aproximativ 5.000 de </w:t>
      </w:r>
      <w:r w:rsidRPr="0072163E">
        <w:rPr>
          <w:rFonts w:asciiTheme="majorHAnsi" w:hAnsiTheme="majorHAnsi"/>
          <w:b/>
          <w:lang w:val="ro-RO"/>
        </w:rPr>
        <w:t>tineri care părăsesc anual institu</w:t>
      </w:r>
      <w:r w:rsidRPr="0072163E">
        <w:rPr>
          <w:rFonts w:ascii="Marker Felt" w:hAnsi="Marker Felt" w:cs="Marker Felt"/>
          <w:b/>
          <w:lang w:val="ro-RO"/>
        </w:rPr>
        <w:t>ț</w:t>
      </w:r>
      <w:r w:rsidRPr="0072163E">
        <w:rPr>
          <w:rFonts w:asciiTheme="majorHAnsi" w:hAnsiTheme="majorHAnsi"/>
          <w:b/>
          <w:lang w:val="ro-RO"/>
        </w:rPr>
        <w:t>iile de plasament</w:t>
      </w:r>
      <w:r w:rsidRPr="0072163E">
        <w:rPr>
          <w:rFonts w:asciiTheme="majorHAnsi" w:hAnsiTheme="majorHAnsi"/>
          <w:lang w:val="ro-RO"/>
        </w:rPr>
        <w:t>, fiind vulnerabili şi expuşi riscului de sărăcie şi/sau excluziune socială</w:t>
      </w:r>
      <w:r w:rsidRPr="004A4E46">
        <w:rPr>
          <w:rStyle w:val="FootnoteReference"/>
          <w:rFonts w:asciiTheme="majorHAnsi" w:hAnsiTheme="majorHAnsi"/>
          <w:lang w:val="ro-RO"/>
        </w:rPr>
        <w:footnoteReference w:id="56"/>
      </w:r>
      <w:r w:rsidRPr="0072163E">
        <w:rPr>
          <w:rFonts w:asciiTheme="majorHAnsi" w:hAnsiTheme="majorHAnsi"/>
          <w:lang w:val="ro-RO"/>
        </w:rPr>
        <w:t>. Majoritatea copiilor din sistemul de protecţie de tip rezidenţial au 14-17 ani, urmaţi de cei de 10-13 ani. Serviciile de integrare socio-profesională şi de dezvoltare a deprinderilor de viaţă independentă sunt subdezvoltate.</w:t>
      </w:r>
      <w:r w:rsidRPr="004A4E46">
        <w:rPr>
          <w:rStyle w:val="FootnoteReference"/>
          <w:rFonts w:asciiTheme="majorHAnsi" w:hAnsiTheme="majorHAnsi"/>
          <w:lang w:val="ro-RO"/>
        </w:rPr>
        <w:footnoteReference w:id="57"/>
      </w:r>
      <w:r w:rsidRPr="0072163E">
        <w:rPr>
          <w:rFonts w:asciiTheme="majorHAnsi" w:hAnsiTheme="majorHAnsi"/>
          <w:lang w:val="ro-RO"/>
        </w:rPr>
        <w:t xml:space="preserve"> </w:t>
      </w:r>
    </w:p>
    <w:p w:rsidR="00822FF7" w:rsidRPr="0072163E" w:rsidRDefault="00822FF7" w:rsidP="00822FF7">
      <w:pPr>
        <w:pStyle w:val="ListParagraph"/>
        <w:numPr>
          <w:ilvl w:val="0"/>
          <w:numId w:val="42"/>
        </w:numPr>
        <w:spacing w:after="120" w:line="240" w:lineRule="auto"/>
        <w:ind w:left="567" w:hanging="283"/>
        <w:contextualSpacing/>
        <w:jc w:val="both"/>
        <w:rPr>
          <w:rFonts w:asciiTheme="majorHAnsi" w:hAnsiTheme="majorHAnsi"/>
          <w:lang w:val="ro-RO"/>
        </w:rPr>
      </w:pPr>
      <w:r w:rsidRPr="0072163E">
        <w:rPr>
          <w:rFonts w:asciiTheme="majorHAnsi" w:hAnsiTheme="majorHAnsi"/>
          <w:b/>
          <w:lang w:val="ro-RO"/>
        </w:rPr>
        <w:t>Tineri din comunită</w:t>
      </w:r>
      <w:r w:rsidRPr="0072163E">
        <w:rPr>
          <w:rFonts w:ascii="Marker Felt" w:hAnsi="Marker Felt" w:cs="Marker Felt"/>
          <w:b/>
          <w:lang w:val="ro-RO"/>
        </w:rPr>
        <w:t>ț</w:t>
      </w:r>
      <w:r w:rsidRPr="0072163E">
        <w:rPr>
          <w:rFonts w:asciiTheme="majorHAnsi" w:hAnsiTheme="majorHAnsi"/>
          <w:b/>
          <w:lang w:val="ro-RO"/>
        </w:rPr>
        <w:t xml:space="preserve">i </w:t>
      </w:r>
      <w:r>
        <w:rPr>
          <w:rFonts w:asciiTheme="majorHAnsi" w:hAnsiTheme="majorHAnsi"/>
          <w:b/>
          <w:lang w:val="ro-RO"/>
        </w:rPr>
        <w:t xml:space="preserve">sărace </w:t>
      </w:r>
      <w:r w:rsidRPr="0072163E">
        <w:rPr>
          <w:rFonts w:asciiTheme="majorHAnsi" w:hAnsiTheme="majorHAnsi"/>
          <w:b/>
          <w:lang w:val="ro-RO"/>
        </w:rPr>
        <w:t>compacte teritorial.</w:t>
      </w:r>
      <w:r w:rsidRPr="0072163E">
        <w:rPr>
          <w:rFonts w:asciiTheme="majorHAnsi" w:hAnsiTheme="majorHAnsi"/>
          <w:lang w:val="ro-RO"/>
        </w:rPr>
        <w:t xml:space="preserve"> Deși sărăcia pe ansamblu și a tinerilor în mod special, este mai ridicată în mediul rural, în ultimele decenii au început să se formeze în mediul urban zone compacte teritorial în care predomină sărăcia extremă. În toate aceste zone, copiii şi tinerii reprezintă principala categorie de populaţie (peste 60%), în timp ce populaţia de 60 de ani şi peste reprezintă sub 10% din total.</w:t>
      </w:r>
      <w:r w:rsidRPr="004A4E46">
        <w:rPr>
          <w:rStyle w:val="FootnoteReference"/>
          <w:rFonts w:asciiTheme="majorHAnsi" w:hAnsiTheme="majorHAnsi"/>
          <w:lang w:val="ro-RO"/>
        </w:rPr>
        <w:footnoteReference w:id="58"/>
      </w:r>
      <w:bookmarkStart w:id="66" w:name="_Toc239222863"/>
      <w:bookmarkStart w:id="67" w:name="_Toc243570859"/>
    </w:p>
    <w:p w:rsidR="00822FF7" w:rsidRPr="0072163E" w:rsidRDefault="00822FF7" w:rsidP="00822FF7">
      <w:pPr>
        <w:pStyle w:val="ListParagraph"/>
        <w:numPr>
          <w:ilvl w:val="0"/>
          <w:numId w:val="42"/>
        </w:numPr>
        <w:spacing w:after="120" w:line="240" w:lineRule="auto"/>
        <w:ind w:left="567" w:hanging="283"/>
        <w:contextualSpacing/>
        <w:jc w:val="both"/>
        <w:rPr>
          <w:rFonts w:asciiTheme="majorHAnsi" w:hAnsiTheme="majorHAnsi"/>
          <w:lang w:val="ro-RO"/>
        </w:rPr>
      </w:pPr>
      <w:r w:rsidRPr="0072163E">
        <w:rPr>
          <w:b/>
          <w:lang w:val="ro-RO"/>
        </w:rPr>
        <w:t>Tineri romi</w:t>
      </w:r>
      <w:bookmarkEnd w:id="66"/>
      <w:bookmarkEnd w:id="67"/>
      <w:r w:rsidRPr="0072163E">
        <w:rPr>
          <w:b/>
          <w:lang w:val="ro-RO"/>
        </w:rPr>
        <w:t>.</w:t>
      </w:r>
      <w:r w:rsidRPr="0072163E">
        <w:rPr>
          <w:lang w:val="ro-RO"/>
        </w:rPr>
        <w:t xml:space="preserve"> Dintre persoanele de etnie Roma, 33,6% erau sărace în 2011</w:t>
      </w:r>
      <w:r w:rsidRPr="00A063D2">
        <w:rPr>
          <w:sz w:val="20"/>
          <w:vertAlign w:val="superscript"/>
        </w:rPr>
        <w:footnoteReference w:id="59"/>
      </w:r>
      <w:r w:rsidRPr="0072163E">
        <w:rPr>
          <w:lang w:val="ro-RO"/>
        </w:rPr>
        <w:t>, o rată a sărăciei absolute de 6,7 ori mai ridicată decât media naţională. Romii reprezintă doar 3,3% din totalul populaţiei  dar 21,9% din totalul săracilor. Ratele sărăciei sunt semnificativ mai mari în rândul copiilor de etnie romă: 27,3% din copiii romi din mediul urban, comparativ cu 2% din copiii români, şi 41,1% faţă de 10,6% în mediul rural. Numai 17% dintre romi urmează o şcoală profesională, un liceu sau nivele superioare de educaţie.</w:t>
      </w:r>
    </w:p>
    <w:p w:rsidR="00822FF7" w:rsidRPr="004E77D5" w:rsidRDefault="00822FF7" w:rsidP="00822FF7">
      <w:pPr>
        <w:pStyle w:val="ListParagraph"/>
        <w:numPr>
          <w:ilvl w:val="0"/>
          <w:numId w:val="42"/>
        </w:numPr>
        <w:spacing w:after="120" w:line="240" w:lineRule="auto"/>
        <w:ind w:left="567" w:hanging="283"/>
        <w:contextualSpacing/>
        <w:jc w:val="both"/>
        <w:rPr>
          <w:rFonts w:asciiTheme="majorHAnsi" w:hAnsiTheme="majorHAnsi"/>
          <w:lang w:val="ro-RO"/>
        </w:rPr>
      </w:pPr>
      <w:bookmarkStart w:id="68" w:name="_Toc239222864"/>
      <w:bookmarkStart w:id="69" w:name="_Toc243570860"/>
      <w:r w:rsidRPr="0072163E">
        <w:rPr>
          <w:rFonts w:asciiTheme="majorHAnsi" w:hAnsiTheme="majorHAnsi"/>
          <w:b/>
          <w:lang w:val="ro-RO"/>
        </w:rPr>
        <w:t>Adolescenţi cu cel puţin unul dintre părinţi plecaţi în străinătate</w:t>
      </w:r>
      <w:bookmarkEnd w:id="68"/>
      <w:bookmarkEnd w:id="69"/>
      <w:r w:rsidRPr="0072163E">
        <w:rPr>
          <w:rFonts w:asciiTheme="majorHAnsi" w:hAnsiTheme="majorHAnsi"/>
          <w:b/>
          <w:lang w:val="ro-RO"/>
        </w:rPr>
        <w:t xml:space="preserve">. </w:t>
      </w:r>
      <w:r w:rsidRPr="0072163E">
        <w:rPr>
          <w:rFonts w:asciiTheme="majorHAnsi" w:hAnsiTheme="majorHAnsi"/>
          <w:lang w:val="ro-RO"/>
        </w:rPr>
        <w:t>Aproximativ 170 de mii de copii din ciclul gimnazial aveau, conform unui studiu mai vechi, cel puţin un părinte care lucra în străinătate</w:t>
      </w:r>
      <w:r w:rsidRPr="00D70409">
        <w:rPr>
          <w:rStyle w:val="FootnoteReference"/>
          <w:rFonts w:asciiTheme="majorHAnsi" w:hAnsiTheme="majorHAnsi"/>
          <w:lang w:val="ro-RO"/>
        </w:rPr>
        <w:footnoteReference w:id="60"/>
      </w:r>
      <w:r>
        <w:rPr>
          <w:rStyle w:val="FootnoteReference"/>
        </w:rPr>
        <w:t xml:space="preserve">. </w:t>
      </w:r>
      <w:r w:rsidRPr="0072163E">
        <w:rPr>
          <w:rFonts w:asciiTheme="majorHAnsi" w:hAnsiTheme="majorHAnsi"/>
          <w:lang w:val="ro-RO"/>
        </w:rPr>
        <w:t xml:space="preserve">Sarcina creșterii acestor copii este încredinţată părintelui rămas sau, dacă lipsesc ambii părinţi, unei rude, în cel mai bun caz sau unei persoane apropiate. </w:t>
      </w:r>
      <w:r w:rsidRPr="0072163E">
        <w:rPr>
          <w:rFonts w:asciiTheme="majorHAnsi" w:hAnsiTheme="majorHAnsi"/>
          <w:lang w:val="ro-RO"/>
        </w:rPr>
        <w:lastRenderedPageBreak/>
        <w:t xml:space="preserve">Tinerii în această situaţie sunt mai expuși la abandon școlar și ieșirea în afara unei traiectorii normale spre viaţa de adult, consecinţele unei situaţii de abandon parţial sau total de către părinţi, chiar dacă temporară, fiind de așteptat să se manifeste de-a lungul întregii vieţi. </w:t>
      </w:r>
    </w:p>
    <w:p w:rsidR="00822FF7" w:rsidRPr="0072163E" w:rsidRDefault="00822FF7" w:rsidP="00822FF7">
      <w:pPr>
        <w:pStyle w:val="ListParagraph"/>
        <w:numPr>
          <w:ilvl w:val="0"/>
          <w:numId w:val="42"/>
        </w:numPr>
        <w:spacing w:after="120" w:line="240" w:lineRule="auto"/>
        <w:ind w:left="567" w:hanging="283"/>
        <w:contextualSpacing/>
        <w:jc w:val="both"/>
        <w:rPr>
          <w:rFonts w:asciiTheme="majorHAnsi" w:hAnsiTheme="majorHAnsi"/>
          <w:lang w:val="ro-RO"/>
        </w:rPr>
      </w:pPr>
      <w:bookmarkStart w:id="70" w:name="_Toc239222865"/>
      <w:bookmarkStart w:id="71" w:name="_Toc243570861"/>
      <w:r w:rsidRPr="0072163E">
        <w:rPr>
          <w:rFonts w:asciiTheme="majorHAnsi" w:hAnsiTheme="majorHAnsi"/>
          <w:b/>
          <w:lang w:val="ro-RO"/>
        </w:rPr>
        <w:t>Tineri care trăiesc cu HIV/ SIDA</w:t>
      </w:r>
      <w:bookmarkEnd w:id="70"/>
      <w:bookmarkEnd w:id="71"/>
      <w:r w:rsidRPr="0072163E">
        <w:rPr>
          <w:rFonts w:asciiTheme="majorHAnsi" w:hAnsiTheme="majorHAnsi"/>
          <w:b/>
          <w:lang w:val="ro-RO"/>
        </w:rPr>
        <w:t xml:space="preserve">. </w:t>
      </w:r>
      <w:r w:rsidRPr="0072163E">
        <w:rPr>
          <w:rFonts w:asciiTheme="majorHAnsi" w:hAnsiTheme="majorHAnsi"/>
          <w:lang w:val="ro-RO"/>
        </w:rPr>
        <w:t>Tinerii între 20 și 25 de ani reprezintă aproximativ 60% dintre persoanele cu HIV/SIDA din România, ca urmare a unui val de infectări pe cale nozocomială la sfârşitul anilor 80 şi începutul anilor 90. Transmiterea sexuală poate fi atribuită în ultimii ani la 4 din 5 cazuri diagnosticate şi ea a fost înregistrată în special la tinerii cu vârste cuprinse între 15 şi 29 de ani cu un vârf la cei între 20 şi 24 de ani</w:t>
      </w:r>
      <w:r w:rsidRPr="004A4E46">
        <w:rPr>
          <w:rStyle w:val="FootnoteReference"/>
          <w:rFonts w:asciiTheme="majorHAnsi" w:hAnsiTheme="majorHAnsi"/>
          <w:lang w:val="ro-RO"/>
        </w:rPr>
        <w:footnoteReference w:id="61"/>
      </w:r>
      <w:r w:rsidRPr="0072163E">
        <w:rPr>
          <w:rFonts w:asciiTheme="majorHAnsi" w:hAnsiTheme="majorHAnsi"/>
          <w:lang w:val="ro-RO"/>
        </w:rPr>
        <w:t>. Aceste persoane se confruntă adesea cu un cumul de factori de excluziune socială, de la discriminare până la lipsa accesului la locuri de muncă sau servicii de sănătate adecvate și dedicate.</w:t>
      </w:r>
    </w:p>
    <w:p w:rsidR="00822FF7" w:rsidRPr="0072163E" w:rsidRDefault="00822FF7" w:rsidP="00822FF7">
      <w:pPr>
        <w:pStyle w:val="ListParagraph"/>
        <w:numPr>
          <w:ilvl w:val="0"/>
          <w:numId w:val="42"/>
        </w:numPr>
        <w:spacing w:after="120" w:line="240" w:lineRule="auto"/>
        <w:ind w:left="567" w:hanging="283"/>
        <w:contextualSpacing/>
        <w:jc w:val="both"/>
        <w:rPr>
          <w:rFonts w:asciiTheme="majorHAnsi" w:hAnsiTheme="majorHAnsi"/>
          <w:lang w:val="ro-RO"/>
        </w:rPr>
      </w:pPr>
      <w:bookmarkStart w:id="72" w:name="_Toc239222866"/>
      <w:bookmarkStart w:id="73" w:name="_Toc243570862"/>
      <w:r w:rsidRPr="0072163E">
        <w:rPr>
          <w:rFonts w:asciiTheme="majorHAnsi" w:hAnsiTheme="majorHAnsi"/>
          <w:b/>
          <w:lang w:val="ro-RO"/>
        </w:rPr>
        <w:t>Victime ale exploatării pentru muncă și în scopuri sexuale</w:t>
      </w:r>
      <w:bookmarkEnd w:id="72"/>
      <w:bookmarkEnd w:id="73"/>
      <w:r w:rsidRPr="0072163E">
        <w:rPr>
          <w:rFonts w:asciiTheme="majorHAnsi" w:hAnsiTheme="majorHAnsi"/>
          <w:lang w:val="ro-RO"/>
        </w:rPr>
        <w:t>. Majoritatea victimelor înregistrate sunt tinere și foarte tinere, mai ales în ceea ce privește exploatarea sexuală dar și a celei pentru muncă. Vârsta medie a victimelor identificate a fost de 24 de ani, însă se constată o vulnerabilitate crescută la vârsta de 17 ani, la această vârstă înregistrându-se cea mai mare frecvenţă a cazurilor per total</w:t>
      </w:r>
      <w:r>
        <w:rPr>
          <w:rStyle w:val="FootnoteReference"/>
          <w:rFonts w:asciiTheme="majorHAnsi" w:hAnsiTheme="majorHAnsi"/>
          <w:lang w:val="ro-RO"/>
        </w:rPr>
        <w:footnoteReference w:id="62"/>
      </w:r>
      <w:r w:rsidRPr="0072163E">
        <w:rPr>
          <w:rFonts w:asciiTheme="majorHAnsi" w:hAnsiTheme="majorHAnsi"/>
          <w:lang w:val="ro-RO"/>
        </w:rPr>
        <w:t>. În cazul victimelor de gen feminin, care constituie 65% din total victimelor, cel mai ridicat risc apare în jurul vârstei de 21 de ani. Minorii alcătuiesc aproximativ un sfert din totalul persoanelor traficate, în special cei din intervalul de vârstă 14-17 ani și provin din familii dezorganizate sau din centrele de plasament.</w:t>
      </w:r>
      <w:r>
        <w:rPr>
          <w:rStyle w:val="FootnoteReference"/>
          <w:rFonts w:asciiTheme="majorHAnsi" w:hAnsiTheme="majorHAnsi"/>
          <w:lang w:val="ro-RO"/>
        </w:rPr>
        <w:footnoteReference w:id="63"/>
      </w:r>
      <w:r w:rsidRPr="0072163E">
        <w:rPr>
          <w:rFonts w:asciiTheme="majorHAnsi" w:hAnsiTheme="majorHAnsi"/>
          <w:lang w:val="ro-RO"/>
        </w:rPr>
        <w:t xml:space="preserve"> </w:t>
      </w:r>
    </w:p>
    <w:p w:rsidR="00822FF7" w:rsidRPr="0072163E" w:rsidRDefault="00822FF7" w:rsidP="00822FF7">
      <w:pPr>
        <w:pStyle w:val="ListParagraph"/>
        <w:numPr>
          <w:ilvl w:val="0"/>
          <w:numId w:val="42"/>
        </w:numPr>
        <w:spacing w:after="120" w:line="240" w:lineRule="auto"/>
        <w:ind w:left="567" w:hanging="283"/>
        <w:contextualSpacing/>
        <w:jc w:val="both"/>
        <w:rPr>
          <w:rFonts w:asciiTheme="majorHAnsi" w:hAnsiTheme="majorHAnsi"/>
          <w:lang w:val="ro-RO"/>
        </w:rPr>
      </w:pPr>
      <w:r w:rsidRPr="0072163E">
        <w:rPr>
          <w:rFonts w:asciiTheme="majorHAnsi" w:hAnsiTheme="majorHAnsi"/>
          <w:b/>
          <w:lang w:val="ro-RO"/>
        </w:rPr>
        <w:t>Mame adolescente.</w:t>
      </w:r>
      <w:r w:rsidRPr="0072163E">
        <w:rPr>
          <w:rFonts w:asciiTheme="majorHAnsi" w:hAnsiTheme="majorHAnsi"/>
          <w:lang w:val="ro-RO"/>
        </w:rPr>
        <w:t xml:space="preserve"> Aproape una din zece nașteri în 2010 s-a înregistrat în cazul unor tinere cu vârsta între 15 și 19 ani. Nașterile premature, dincolo de riscurile pe dimensiunea sănătăţii, reprezintă în cele mai multe cazuri un mecanism de perpetuare intergeneraţională a sărăciei și excluziunii sociale.</w:t>
      </w:r>
    </w:p>
    <w:p w:rsidR="00822FF7" w:rsidRPr="0072163E" w:rsidRDefault="00822FF7" w:rsidP="00822FF7">
      <w:pPr>
        <w:pStyle w:val="ListParagraph"/>
        <w:numPr>
          <w:ilvl w:val="0"/>
          <w:numId w:val="42"/>
        </w:numPr>
        <w:spacing w:after="120" w:line="240" w:lineRule="auto"/>
        <w:ind w:left="567" w:hanging="283"/>
        <w:contextualSpacing/>
        <w:jc w:val="both"/>
        <w:rPr>
          <w:rFonts w:asciiTheme="majorHAnsi" w:hAnsiTheme="majorHAnsi"/>
          <w:b/>
          <w:lang w:val="ro-RO"/>
        </w:rPr>
      </w:pPr>
      <w:bookmarkStart w:id="74" w:name="_Toc239222868"/>
      <w:bookmarkStart w:id="75" w:name="_Toc243570864"/>
      <w:r w:rsidRPr="0072163E">
        <w:rPr>
          <w:rFonts w:asciiTheme="majorHAnsi" w:hAnsiTheme="majorHAnsi"/>
          <w:b/>
          <w:lang w:val="ro-RO"/>
        </w:rPr>
        <w:t>Tineri discriminaţi pe motive de vârstă, gen, etnie, cetăţenie, orientare sexual</w:t>
      </w:r>
      <w:bookmarkEnd w:id="74"/>
      <w:r w:rsidRPr="0072163E">
        <w:rPr>
          <w:rFonts w:asciiTheme="majorHAnsi" w:hAnsiTheme="majorHAnsi"/>
          <w:b/>
          <w:lang w:val="ro-RO"/>
        </w:rPr>
        <w:t>ă</w:t>
      </w:r>
      <w:bookmarkEnd w:id="75"/>
      <w:r w:rsidRPr="0072163E">
        <w:rPr>
          <w:rFonts w:asciiTheme="majorHAnsi" w:hAnsiTheme="majorHAnsi"/>
          <w:b/>
          <w:lang w:val="ro-RO"/>
        </w:rPr>
        <w:t xml:space="preserve">. </w:t>
      </w:r>
      <w:r w:rsidRPr="0072163E">
        <w:rPr>
          <w:rFonts w:asciiTheme="majorHAnsi" w:hAnsiTheme="majorHAnsi"/>
          <w:lang w:val="ro-RO"/>
        </w:rPr>
        <w:t>Cele mai discriminate categorii sociale, conform opiniilor respondenţilor unui studiu recent, sunt reprezentate de persoanele de etnie romă, persoanele cu dizabilităţi fizice sau psihice, persoanele infectate cu HIV/SIDA, persoanele fără adăpost, orfanii şi persoanele dependente de droguri</w:t>
      </w:r>
      <w:r w:rsidRPr="004A4E46">
        <w:rPr>
          <w:rStyle w:val="FootnoteReference"/>
          <w:rFonts w:asciiTheme="majorHAnsi" w:hAnsiTheme="majorHAnsi"/>
          <w:lang w:val="ro-RO"/>
        </w:rPr>
        <w:footnoteReference w:id="64"/>
      </w:r>
      <w:r w:rsidRPr="0072163E">
        <w:rPr>
          <w:rFonts w:asciiTheme="majorHAnsi" w:hAnsiTheme="majorHAnsi"/>
          <w:lang w:val="ro-RO"/>
        </w:rPr>
        <w:t>. Conform aceleiași cercetări, 31% dintre români afirmă că s-ar simţi foarte puţin/deloc confortabil în preajma unei persoane de orientară homosexuală.</w:t>
      </w:r>
    </w:p>
    <w:p w:rsidR="00822FF7" w:rsidRPr="00E81155" w:rsidRDefault="00822FF7" w:rsidP="00822FF7">
      <w:pPr>
        <w:pStyle w:val="ListParagraph"/>
        <w:numPr>
          <w:ilvl w:val="0"/>
          <w:numId w:val="42"/>
        </w:numPr>
        <w:spacing w:after="120" w:line="240" w:lineRule="auto"/>
        <w:ind w:left="567" w:hanging="283"/>
        <w:contextualSpacing/>
        <w:jc w:val="both"/>
        <w:rPr>
          <w:rFonts w:asciiTheme="majorHAnsi" w:hAnsiTheme="majorHAnsi"/>
          <w:b/>
          <w:lang w:val="ro-RO"/>
        </w:rPr>
      </w:pPr>
      <w:bookmarkStart w:id="76" w:name="_Toc243570865"/>
      <w:r w:rsidRPr="0072163E">
        <w:rPr>
          <w:rFonts w:asciiTheme="majorHAnsi" w:hAnsiTheme="majorHAnsi"/>
          <w:b/>
          <w:lang w:val="ro-RO"/>
        </w:rPr>
        <w:t xml:space="preserve">Tinerii cu </w:t>
      </w:r>
      <w:bookmarkEnd w:id="76"/>
      <w:r>
        <w:rPr>
          <w:rFonts w:asciiTheme="majorHAnsi" w:hAnsiTheme="majorHAnsi"/>
          <w:b/>
          <w:lang w:val="ro-RO"/>
        </w:rPr>
        <w:t>dizabilităţi</w:t>
      </w:r>
      <w:r w:rsidRPr="0072163E">
        <w:rPr>
          <w:rFonts w:asciiTheme="majorHAnsi" w:hAnsiTheme="majorHAnsi"/>
          <w:b/>
          <w:lang w:val="ro-RO"/>
        </w:rPr>
        <w:t xml:space="preserve">. </w:t>
      </w:r>
      <w:r w:rsidRPr="0072163E">
        <w:rPr>
          <w:rFonts w:asciiTheme="majorHAnsi" w:hAnsiTheme="majorHAnsi"/>
          <w:lang w:val="ro-RO"/>
        </w:rPr>
        <w:t>Dizabilitatea este unul dintre determinanţii importanţi pentru comportamentul adolescenţilor, având influenţe marcante asupra relaţiei acestora cu cei de aceeași vârstă, cu școala și cu mediul social apropiat</w:t>
      </w:r>
      <w:r>
        <w:rPr>
          <w:rStyle w:val="FootnoteReference"/>
          <w:rFonts w:asciiTheme="majorHAnsi" w:hAnsiTheme="majorHAnsi"/>
          <w:lang w:val="ro-RO"/>
        </w:rPr>
        <w:footnoteReference w:id="65"/>
      </w:r>
      <w:r w:rsidRPr="0072163E">
        <w:rPr>
          <w:rFonts w:asciiTheme="majorHAnsi" w:hAnsiTheme="majorHAnsi"/>
          <w:lang w:val="ro-RO"/>
        </w:rPr>
        <w:t xml:space="preserve">. Din datele prezentate de Ministerul Muncii (ANPH) rezultă că există peste 10.000 de persoane cu dizabilităţi înregistrate pe intervalul de vîrstă 15-17 ani. Am putea estima că pentru intervalul de vârstă 14-34 de ani avem un număr de persoane cu dizabilităţi situat între 80 și 100 mii (din totalul de aproape 700.000 de persoane cu handicap la nivelul populaţiei României). Conform surselor citate, aproximativ  6.000 de tineri cu dizabilităţi se găsesc în instituţii de îngrijire și nu mai mult de 5-600 sunt încadraţi în muncă (din totalul de 1000 la nivelul întregii populaţii). Rezultă deci un număr foarte mare (peste 70.000) de tineri cu dizabilităţi care se află în îngrijirea familiilor, cei mai mulţi dintre ei, fără a avea un loc de muncă și trăind aproape izolaţi de societate. </w:t>
      </w:r>
    </w:p>
    <w:p w:rsidR="00822FF7" w:rsidRPr="00105EF9" w:rsidRDefault="00822FF7" w:rsidP="00822FF7">
      <w:pPr>
        <w:spacing w:after="120"/>
        <w:jc w:val="both"/>
        <w:rPr>
          <w:rFonts w:asciiTheme="majorHAnsi" w:hAnsiTheme="majorHAnsi"/>
          <w:b/>
          <w:lang w:val="ro-RO"/>
        </w:rPr>
      </w:pPr>
    </w:p>
    <w:p w:rsidR="00822FF7" w:rsidRDefault="00822FF7" w:rsidP="00822FF7">
      <w:pPr>
        <w:pStyle w:val="Heading3"/>
        <w:spacing w:before="0" w:after="120"/>
        <w:rPr>
          <w:lang w:val="ro-RO"/>
        </w:rPr>
      </w:pPr>
      <w:bookmarkStart w:id="77" w:name="_Toc370211870"/>
      <w:r>
        <w:rPr>
          <w:lang w:val="ro-RO"/>
        </w:rPr>
        <w:lastRenderedPageBreak/>
        <w:t>R</w:t>
      </w:r>
      <w:r w:rsidRPr="00DA6D32">
        <w:rPr>
          <w:lang w:val="ro-RO"/>
        </w:rPr>
        <w:t>ezultate așteptate</w:t>
      </w:r>
      <w:bookmarkEnd w:id="77"/>
    </w:p>
    <w:p w:rsidR="00822FF7" w:rsidRDefault="00822FF7" w:rsidP="00822FF7">
      <w:pPr>
        <w:widowControl w:val="0"/>
        <w:autoSpaceDE w:val="0"/>
        <w:autoSpaceDN w:val="0"/>
        <w:adjustRightInd w:val="0"/>
        <w:spacing w:after="120"/>
        <w:jc w:val="both"/>
        <w:rPr>
          <w:rFonts w:asciiTheme="majorHAnsi" w:hAnsiTheme="majorHAnsi"/>
          <w:lang w:val="ro-RO"/>
        </w:rPr>
      </w:pPr>
      <w:r w:rsidRPr="00E81155">
        <w:rPr>
          <w:rFonts w:asciiTheme="majorHAnsi" w:hAnsiTheme="majorHAnsi"/>
          <w:lang w:val="ro-RO"/>
        </w:rPr>
        <w:t>Strategia prevede, pe fiecare dintre cele 4 domenii principale de intervenţie, o serie de obiective specifice și direcţii de acţiune pentru tinerii cu un nivel ridicat de vulnerabilitate socială, precum și altele speciale pentru promovarea incluziunii sociale și combaterea sărăciei tinerilor. Incluziunea socială este considerată ca fiind nucleu</w:t>
      </w:r>
      <w:r>
        <w:rPr>
          <w:rFonts w:asciiTheme="majorHAnsi" w:hAnsiTheme="majorHAnsi"/>
          <w:lang w:val="ro-RO"/>
        </w:rPr>
        <w:t>l strategic al acestui document</w:t>
      </w:r>
      <w:r w:rsidRPr="00E81155">
        <w:rPr>
          <w:rFonts w:asciiTheme="majorHAnsi" w:hAnsiTheme="majorHAnsi"/>
          <w:lang w:val="ro-RO"/>
        </w:rPr>
        <w:t>, însă pentru o serie de tineri care se confruntă cu probleme grave ea nu poate atinsă prin măsuri sectoriale destinate populaţiei de tineri în ansamblu ci doar prin intervenţii intersectoriale, integrate și dedicate</w:t>
      </w:r>
      <w:r>
        <w:rPr>
          <w:rFonts w:asciiTheme="majorHAnsi" w:hAnsiTheme="majorHAnsi"/>
          <w:lang w:val="ro-RO"/>
        </w:rPr>
        <w:t xml:space="preserve"> grupurilor vulnerabile</w:t>
      </w:r>
      <w:r w:rsidRPr="00E81155">
        <w:rPr>
          <w:rFonts w:asciiTheme="majorHAnsi" w:hAnsiTheme="majorHAnsi"/>
          <w:lang w:val="ro-RO"/>
        </w:rPr>
        <w:t>.</w:t>
      </w:r>
    </w:p>
    <w:p w:rsidR="00822FF7" w:rsidRDefault="00822FF7" w:rsidP="00822FF7">
      <w:pPr>
        <w:widowControl w:val="0"/>
        <w:autoSpaceDE w:val="0"/>
        <w:autoSpaceDN w:val="0"/>
        <w:adjustRightInd w:val="0"/>
        <w:spacing w:after="120"/>
        <w:jc w:val="both"/>
        <w:rPr>
          <w:rFonts w:asciiTheme="majorHAnsi" w:hAnsiTheme="majorHAnsi"/>
          <w:lang w:val="ro-RO"/>
        </w:rPr>
      </w:pPr>
      <w:r>
        <w:rPr>
          <w:rFonts w:asciiTheme="majorHAnsi" w:hAnsiTheme="majorHAnsi"/>
          <w:lang w:val="ro-RO"/>
        </w:rPr>
        <w:t xml:space="preserve">Având în vedere și situația prezentată cu privire la incidența sărăciei printre tineri, Strategia va conduce la combaterea acestui fenomen. Se așteaptă îmbunătățirea accesului tinerilor la soluții de  locuire independentă și în condiții adecvate, în vederea capacitării acestora de a-și întemeia gospodării autonome. </w:t>
      </w:r>
    </w:p>
    <w:p w:rsidR="00822FF7" w:rsidRPr="007320CC" w:rsidRDefault="00822FF7" w:rsidP="00822FF7">
      <w:pPr>
        <w:widowControl w:val="0"/>
        <w:autoSpaceDE w:val="0"/>
        <w:autoSpaceDN w:val="0"/>
        <w:adjustRightInd w:val="0"/>
        <w:spacing w:after="120"/>
        <w:jc w:val="both"/>
        <w:rPr>
          <w:rFonts w:asciiTheme="majorHAnsi" w:hAnsiTheme="majorHAnsi"/>
          <w:lang w:val="ro-RO"/>
        </w:rPr>
      </w:pPr>
      <w:r>
        <w:rPr>
          <w:rFonts w:asciiTheme="majorHAnsi" w:hAnsiTheme="majorHAnsi"/>
          <w:lang w:val="ro-RO"/>
        </w:rPr>
        <w:t xml:space="preserve">Strategia urmărește îmbunătățirea semnificativă a situației unor </w:t>
      </w:r>
      <w:r w:rsidRPr="007320CC">
        <w:rPr>
          <w:rFonts w:asciiTheme="majorHAnsi" w:hAnsiTheme="majorHAnsi"/>
          <w:lang w:val="ro-RO"/>
        </w:rPr>
        <w:t xml:space="preserve">grupuri de tineri aflate în situaţii de risc </w:t>
      </w:r>
      <w:r>
        <w:rPr>
          <w:rFonts w:asciiTheme="majorHAnsi" w:hAnsiTheme="majorHAnsi"/>
          <w:lang w:val="ro-RO"/>
        </w:rPr>
        <w:t>ridicat de excluziune socială</w:t>
      </w:r>
      <w:r w:rsidRPr="007320CC">
        <w:rPr>
          <w:rFonts w:asciiTheme="majorHAnsi" w:hAnsiTheme="majorHAnsi"/>
          <w:lang w:val="ro-RO"/>
        </w:rPr>
        <w:t xml:space="preserve">, </w:t>
      </w:r>
      <w:r>
        <w:rPr>
          <w:rFonts w:asciiTheme="majorHAnsi" w:hAnsiTheme="majorHAnsi"/>
          <w:lang w:val="ro-RO"/>
        </w:rPr>
        <w:t xml:space="preserve">o provocare aparte reprezentând-o cronicizarea problemelor acestor tineri în perioada tranziției, </w:t>
      </w:r>
      <w:r w:rsidRPr="007320CC">
        <w:rPr>
          <w:rFonts w:asciiTheme="majorHAnsi" w:hAnsiTheme="majorHAnsi"/>
          <w:lang w:val="ro-RO"/>
        </w:rPr>
        <w:t>Strategia referindu-se la tinerii străzii, tinerii romi săraci, tinerii ieșiti din sistemul de îngrijire rezidenţială, tinerii din zonele sărace compacte teritorial, tinerii victime ale exploatării pentru muncă și în scopuri sexuale, tinerii abandonaţi de familii, tinerii cu HIV/SIDA, mamele adolescente și tinerii discriminaţi pe diferite criterii: vârstă, sex, orientare sexuală sau etnie.</w:t>
      </w:r>
    </w:p>
    <w:p w:rsidR="00822FF7" w:rsidRPr="00E81155" w:rsidRDefault="00822FF7" w:rsidP="00822FF7">
      <w:pPr>
        <w:widowControl w:val="0"/>
        <w:autoSpaceDE w:val="0"/>
        <w:autoSpaceDN w:val="0"/>
        <w:adjustRightInd w:val="0"/>
        <w:spacing w:after="120"/>
        <w:jc w:val="both"/>
        <w:rPr>
          <w:rFonts w:asciiTheme="majorHAnsi" w:hAnsiTheme="majorHAnsi"/>
          <w:lang w:val="ro-RO"/>
        </w:rPr>
      </w:pPr>
    </w:p>
    <w:p w:rsidR="00822FF7" w:rsidRDefault="00822FF7" w:rsidP="00822FF7">
      <w:pPr>
        <w:spacing w:after="120"/>
        <w:jc w:val="both"/>
        <w:rPr>
          <w:rFonts w:asciiTheme="majorHAnsi" w:hAnsiTheme="majorHAnsi"/>
          <w:b/>
          <w:lang w:val="ro-RO"/>
        </w:rPr>
      </w:pPr>
    </w:p>
    <w:p w:rsidR="00822FF7" w:rsidRDefault="00822FF7" w:rsidP="00B12674">
      <w:pPr>
        <w:pStyle w:val="Heading1"/>
        <w:jc w:val="both"/>
        <w:rPr>
          <w:lang w:val="ro-RO"/>
        </w:rPr>
      </w:pPr>
    </w:p>
    <w:p w:rsidR="00822FF7" w:rsidRDefault="00822FF7" w:rsidP="00B12674">
      <w:pPr>
        <w:pStyle w:val="Heading1"/>
        <w:jc w:val="both"/>
        <w:rPr>
          <w:lang w:val="ro-RO"/>
        </w:rPr>
      </w:pPr>
    </w:p>
    <w:p w:rsidR="00DF75C3" w:rsidRDefault="00DF75C3" w:rsidP="00B12674">
      <w:pPr>
        <w:pStyle w:val="Heading1"/>
        <w:jc w:val="both"/>
        <w:rPr>
          <w:lang w:val="ro-RO"/>
        </w:rPr>
      </w:pPr>
    </w:p>
    <w:p w:rsidR="00DF75C3" w:rsidRDefault="00DF75C3" w:rsidP="00DF75C3"/>
    <w:p w:rsidR="00DF75C3" w:rsidRDefault="00DF75C3" w:rsidP="00DF75C3"/>
    <w:p w:rsidR="00DF75C3" w:rsidRDefault="00DF75C3" w:rsidP="00DF75C3"/>
    <w:p w:rsidR="00DF75C3" w:rsidRDefault="00DF75C3" w:rsidP="00DF75C3"/>
    <w:p w:rsidR="00DF75C3" w:rsidRDefault="00DF75C3" w:rsidP="00DF75C3"/>
    <w:p w:rsidR="00822FF7" w:rsidRPr="00DF75C3" w:rsidRDefault="00822FF7" w:rsidP="00DF75C3"/>
    <w:p w:rsidR="00B50A36" w:rsidRDefault="00B50A36" w:rsidP="00B12674">
      <w:pPr>
        <w:pStyle w:val="Heading1"/>
        <w:jc w:val="both"/>
        <w:rPr>
          <w:rFonts w:cs="Times New Roman"/>
          <w:lang w:val="ro-RO"/>
        </w:rPr>
      </w:pPr>
      <w:bookmarkStart w:id="78" w:name="_Toc370211871"/>
      <w:r w:rsidRPr="00F473EE">
        <w:rPr>
          <w:lang w:val="ro-RO"/>
        </w:rPr>
        <w:lastRenderedPageBreak/>
        <w:t>Obiectivul general al Strategiei:</w:t>
      </w:r>
      <w:bookmarkEnd w:id="78"/>
    </w:p>
    <w:p w:rsidR="00B50A36" w:rsidRPr="00522C63" w:rsidRDefault="00B50A36" w:rsidP="00B12674">
      <w:pPr>
        <w:jc w:val="both"/>
        <w:rPr>
          <w:lang w:val="ro-RO"/>
        </w:rPr>
      </w:pPr>
    </w:p>
    <w:p w:rsidR="00B50A36" w:rsidRPr="00FF6AB9" w:rsidRDefault="00B50A36" w:rsidP="00B12674">
      <w:pPr>
        <w:jc w:val="both"/>
        <w:rPr>
          <w:lang w:val="ro-RO"/>
        </w:rPr>
      </w:pPr>
      <w:r w:rsidRPr="00FF6AB9">
        <w:rPr>
          <w:lang w:val="ro-RO"/>
        </w:rPr>
        <w:t>Susţinerea participării active a tinerilor la viaţa economică, socială, culturală şi politică a ţării, asigurând oportunităţi egale de acces la educaţie, ocupare şi condiţii de viaţă decente</w:t>
      </w:r>
      <w:r>
        <w:rPr>
          <w:lang w:val="ro-RO"/>
        </w:rPr>
        <w:t>, cu o atenţie particulară către tinerii care, din diferite motive, ar putea avea mai puţine oportunităţi.</w:t>
      </w:r>
    </w:p>
    <w:p w:rsidR="00B50A36" w:rsidRPr="00F473EE" w:rsidRDefault="00B50A36" w:rsidP="00B12674">
      <w:pPr>
        <w:pStyle w:val="Heading1"/>
        <w:jc w:val="both"/>
        <w:rPr>
          <w:lang w:val="ro-RO"/>
        </w:rPr>
      </w:pPr>
      <w:bookmarkStart w:id="79" w:name="_Toc370211872"/>
      <w:r w:rsidRPr="00F473EE">
        <w:rPr>
          <w:lang w:val="ro-RO"/>
        </w:rPr>
        <w:t>Principiile Strategiei:</w:t>
      </w:r>
      <w:bookmarkEnd w:id="79"/>
    </w:p>
    <w:p w:rsidR="00B50A36" w:rsidRPr="00466D08" w:rsidRDefault="00B50A36" w:rsidP="00B12674">
      <w:pPr>
        <w:pStyle w:val="ColorfulList-Accent11"/>
        <w:numPr>
          <w:ilvl w:val="0"/>
          <w:numId w:val="3"/>
        </w:numPr>
        <w:spacing w:after="0" w:line="240" w:lineRule="auto"/>
        <w:jc w:val="both"/>
        <w:rPr>
          <w:lang w:val="ro-RO"/>
        </w:rPr>
      </w:pPr>
      <w:r w:rsidRPr="00466D08">
        <w:rPr>
          <w:b/>
          <w:bCs/>
          <w:lang w:val="ro-RO"/>
        </w:rPr>
        <w:t>Principiul abordării globale şi integrate</w:t>
      </w:r>
      <w:r w:rsidRPr="00466D08">
        <w:rPr>
          <w:lang w:val="ro-RO"/>
        </w:rPr>
        <w:t xml:space="preserve"> - </w:t>
      </w:r>
      <w:r>
        <w:rPr>
          <w:lang w:val="ro-RO"/>
        </w:rPr>
        <w:t xml:space="preserve">o </w:t>
      </w:r>
      <w:r w:rsidRPr="00466D08">
        <w:rPr>
          <w:lang w:val="ro-RO"/>
        </w:rPr>
        <w:t>strategi</w:t>
      </w:r>
      <w:r>
        <w:rPr>
          <w:lang w:val="ro-RO"/>
        </w:rPr>
        <w:t>e</w:t>
      </w:r>
      <w:r w:rsidRPr="00466D08">
        <w:rPr>
          <w:lang w:val="ro-RO"/>
        </w:rPr>
        <w:t xml:space="preserve"> care să acopere toate domeniile importante ale vieţii tinerilor şi să asigure intervenţia integrată a autorităţilor publice şi a </w:t>
      </w:r>
      <w:r>
        <w:rPr>
          <w:lang w:val="ro-RO"/>
        </w:rPr>
        <w:t>celorlalte</w:t>
      </w:r>
      <w:r w:rsidRPr="00466D08">
        <w:rPr>
          <w:lang w:val="ro-RO"/>
        </w:rPr>
        <w:t xml:space="preserve"> entităţi interesate pentru atingerea obiectivelor. </w:t>
      </w:r>
    </w:p>
    <w:p w:rsidR="00B50A36" w:rsidRPr="00466D08" w:rsidRDefault="00B50A36" w:rsidP="00B12674">
      <w:pPr>
        <w:pStyle w:val="ColorfulList-Accent11"/>
        <w:numPr>
          <w:ilvl w:val="0"/>
          <w:numId w:val="3"/>
        </w:numPr>
        <w:spacing w:after="0" w:line="240" w:lineRule="auto"/>
        <w:jc w:val="both"/>
        <w:rPr>
          <w:lang w:val="ro-RO"/>
        </w:rPr>
      </w:pPr>
      <w:r w:rsidRPr="00466D08">
        <w:rPr>
          <w:b/>
          <w:bCs/>
          <w:lang w:val="ro-RO"/>
        </w:rPr>
        <w:t>Principiul fundamentării politicilor pe cunoaştere</w:t>
      </w:r>
      <w:r w:rsidRPr="00466D08">
        <w:rPr>
          <w:lang w:val="ro-RO"/>
        </w:rPr>
        <w:t xml:space="preserve"> -  adoptarea deciziilor politice de pe o poziţie bine informată şi ştiinţific fundamentată.</w:t>
      </w:r>
    </w:p>
    <w:p w:rsidR="00B50A36" w:rsidRPr="00466D08" w:rsidRDefault="00B50A36" w:rsidP="00B12674">
      <w:pPr>
        <w:pStyle w:val="ColorfulList-Accent11"/>
        <w:numPr>
          <w:ilvl w:val="0"/>
          <w:numId w:val="3"/>
        </w:numPr>
        <w:spacing w:after="0" w:line="240" w:lineRule="auto"/>
        <w:jc w:val="both"/>
        <w:rPr>
          <w:lang w:val="ro-RO"/>
        </w:rPr>
      </w:pPr>
      <w:r w:rsidRPr="00466D08">
        <w:rPr>
          <w:b/>
          <w:bCs/>
          <w:lang w:val="ro-RO"/>
        </w:rPr>
        <w:t>Principiul recunoaşterii tinerilor ca resursă de dezvoltare durabilă</w:t>
      </w:r>
      <w:r w:rsidRPr="00466D08">
        <w:rPr>
          <w:lang w:val="ro-RO"/>
        </w:rPr>
        <w:t xml:space="preserve"> - recunoaşterea tuturor tinerilor ca o resursă pentru societate şi asigurarea dreptului tinerilor de a participa la elaborarea politicilor care îi vizează, prin intermediul unui dialog structurat continuu cu tinerii şi organizaţiile </w:t>
      </w:r>
      <w:r>
        <w:rPr>
          <w:sz w:val="24"/>
          <w:szCs w:val="24"/>
          <w:lang w:val="ro-RO"/>
        </w:rPr>
        <w:t>neguvernamentale de şi pentru tineret</w:t>
      </w:r>
      <w:r w:rsidRPr="00466D08">
        <w:rPr>
          <w:lang w:val="ro-RO"/>
        </w:rPr>
        <w:t xml:space="preserve"> .</w:t>
      </w:r>
    </w:p>
    <w:p w:rsidR="00B50A36" w:rsidRPr="00466D08" w:rsidRDefault="00B50A36" w:rsidP="00B12674">
      <w:pPr>
        <w:pStyle w:val="ColorfulList-Accent11"/>
        <w:numPr>
          <w:ilvl w:val="0"/>
          <w:numId w:val="3"/>
        </w:numPr>
        <w:spacing w:after="0" w:line="240" w:lineRule="auto"/>
        <w:jc w:val="both"/>
        <w:rPr>
          <w:lang w:val="ro-RO"/>
        </w:rPr>
      </w:pPr>
      <w:r w:rsidRPr="00466D08">
        <w:rPr>
          <w:b/>
          <w:bCs/>
          <w:lang w:val="ro-RO"/>
        </w:rPr>
        <w:t>Principiul cooperării</w:t>
      </w:r>
      <w:r w:rsidRPr="00466D08">
        <w:rPr>
          <w:lang w:val="ro-RO"/>
        </w:rPr>
        <w:t xml:space="preserve"> - cooperarea autorităţilor şi instituţiilor publice centrale şi locale cu </w:t>
      </w:r>
      <w:r>
        <w:rPr>
          <w:lang w:val="ro-RO"/>
        </w:rPr>
        <w:t>organizaţiile neguvernamentale de şi pentru tineret (ONGT)</w:t>
      </w:r>
      <w:r>
        <w:rPr>
          <w:rStyle w:val="FootnoteReference"/>
          <w:lang w:val="ro-RO"/>
        </w:rPr>
        <w:footnoteReference w:id="66"/>
      </w:r>
      <w:r w:rsidRPr="00466D08">
        <w:rPr>
          <w:lang w:val="ro-RO"/>
        </w:rPr>
        <w:t>, în toate problemele care privesc viaţa tinerilor.</w:t>
      </w:r>
    </w:p>
    <w:p w:rsidR="00B50A36" w:rsidRPr="00466D08" w:rsidRDefault="00B50A36" w:rsidP="00B12674">
      <w:pPr>
        <w:pStyle w:val="ColorfulList-Accent11"/>
        <w:numPr>
          <w:ilvl w:val="0"/>
          <w:numId w:val="3"/>
        </w:numPr>
        <w:spacing w:after="240" w:line="240" w:lineRule="auto"/>
        <w:jc w:val="both"/>
        <w:rPr>
          <w:lang w:val="ro-RO"/>
        </w:rPr>
      </w:pPr>
      <w:r w:rsidRPr="00466D08">
        <w:rPr>
          <w:b/>
          <w:bCs/>
          <w:lang w:val="ro-RO"/>
        </w:rPr>
        <w:t xml:space="preserve">Principiul </w:t>
      </w:r>
      <w:r>
        <w:rPr>
          <w:b/>
          <w:bCs/>
          <w:lang w:val="ro-RO"/>
        </w:rPr>
        <w:t>n</w:t>
      </w:r>
      <w:r w:rsidRPr="00466D08">
        <w:rPr>
          <w:b/>
          <w:bCs/>
          <w:lang w:val="ro-RO"/>
        </w:rPr>
        <w:t>ediscriminării</w:t>
      </w:r>
      <w:r w:rsidRPr="00466D08">
        <w:rPr>
          <w:lang w:val="ro-RO"/>
        </w:rPr>
        <w:t xml:space="preserve"> - garantarea nediscriminării şi asigurarea şanselor egale de acces,  indiferent de rasă, sex, vârstă, confesiune, origine etnică şi socială, orientare sexuală, orientare politică sau orice altă caracteristică, la programele, serviciile şi activităţile pentru tineret finanţate din surse publice.</w:t>
      </w:r>
    </w:p>
    <w:p w:rsidR="00B50A36" w:rsidRPr="00466D08" w:rsidRDefault="00B50A36" w:rsidP="00B12674">
      <w:pPr>
        <w:pStyle w:val="ColorfulList-Accent11"/>
        <w:numPr>
          <w:ilvl w:val="0"/>
          <w:numId w:val="3"/>
        </w:numPr>
        <w:spacing w:after="0" w:line="240" w:lineRule="auto"/>
        <w:jc w:val="both"/>
        <w:rPr>
          <w:lang w:val="ro-RO"/>
        </w:rPr>
      </w:pPr>
      <w:r w:rsidRPr="00466D08">
        <w:rPr>
          <w:b/>
          <w:bCs/>
          <w:lang w:val="ro-RO"/>
        </w:rPr>
        <w:t>Principiul toleranţei</w:t>
      </w:r>
      <w:r w:rsidRPr="00466D08">
        <w:rPr>
          <w:lang w:val="ro-RO"/>
        </w:rPr>
        <w:t xml:space="preserve"> - promovarea toleranţei şi acceptării diferenţelor în toate programele pentru tineret şi în toate stabilimentele destinate activităţii de tineret, finanţate din surse publice.</w:t>
      </w:r>
    </w:p>
    <w:p w:rsidR="00B50A36" w:rsidRPr="00466D08" w:rsidRDefault="00B50A36" w:rsidP="00B12674">
      <w:pPr>
        <w:pStyle w:val="ColorfulList-Accent11"/>
        <w:numPr>
          <w:ilvl w:val="0"/>
          <w:numId w:val="3"/>
        </w:numPr>
        <w:spacing w:after="0" w:line="240" w:lineRule="auto"/>
        <w:jc w:val="both"/>
        <w:rPr>
          <w:lang w:val="ro-RO"/>
        </w:rPr>
      </w:pPr>
      <w:r w:rsidRPr="00466D08">
        <w:rPr>
          <w:b/>
          <w:bCs/>
          <w:lang w:val="ro-RO"/>
        </w:rPr>
        <w:t>Principiul solidarităţii</w:t>
      </w:r>
      <w:r w:rsidRPr="00466D08">
        <w:rPr>
          <w:lang w:val="ro-RO"/>
        </w:rPr>
        <w:t xml:space="preserve"> - luarea în considerare a posibilelor diferenţe între condiţiile de viaţă, nevoile, aspiraţiile, interesele şi atitudinile tinerilor, datorate diferiţilor factori, şi acordarea unei atenţii particulare celor care, din diferite motive, ar putea avea oportunităţi mai puţine.</w:t>
      </w:r>
    </w:p>
    <w:p w:rsidR="00B50A36" w:rsidRPr="00466D08" w:rsidRDefault="00B50A36" w:rsidP="00B12674">
      <w:pPr>
        <w:pStyle w:val="ColorfulList-Accent11"/>
        <w:numPr>
          <w:ilvl w:val="0"/>
          <w:numId w:val="3"/>
        </w:numPr>
        <w:spacing w:after="0" w:line="240" w:lineRule="auto"/>
        <w:jc w:val="both"/>
        <w:rPr>
          <w:lang w:val="ro-RO"/>
        </w:rPr>
      </w:pPr>
      <w:r w:rsidRPr="00466D08">
        <w:rPr>
          <w:b/>
          <w:bCs/>
          <w:lang w:val="ro-RO"/>
        </w:rPr>
        <w:t>Principiul abordării participative</w:t>
      </w:r>
      <w:r w:rsidRPr="00466D08">
        <w:rPr>
          <w:lang w:val="ro-RO"/>
        </w:rPr>
        <w:t xml:space="preserve"> - asigurarea unei cât mai largi participări a tinerilor la viaţa publică şi încurajarea acestora în vederea asumării responsabilităţilor individuale sau de grup.</w:t>
      </w:r>
    </w:p>
    <w:p w:rsidR="00B50A36" w:rsidRPr="00466D08" w:rsidRDefault="00B50A36" w:rsidP="00B12674">
      <w:pPr>
        <w:pStyle w:val="ColorfulList-Accent11"/>
        <w:numPr>
          <w:ilvl w:val="0"/>
          <w:numId w:val="3"/>
        </w:numPr>
        <w:spacing w:after="0" w:line="240" w:lineRule="auto"/>
        <w:jc w:val="both"/>
        <w:rPr>
          <w:lang w:val="ro-RO"/>
        </w:rPr>
      </w:pPr>
      <w:r w:rsidRPr="00466D08">
        <w:rPr>
          <w:b/>
          <w:bCs/>
          <w:lang w:val="ro-RO"/>
        </w:rPr>
        <w:t>Principiul continuităţii şi coordonării</w:t>
      </w:r>
      <w:r w:rsidRPr="00466D08">
        <w:rPr>
          <w:lang w:val="ro-RO"/>
        </w:rPr>
        <w:t xml:space="preserve"> - asigurarea continuităţii şi coordonării în procesul de planificare şi implementare a politicilor publice.</w:t>
      </w:r>
    </w:p>
    <w:p w:rsidR="00B50A36" w:rsidRPr="00466D08" w:rsidRDefault="00B50A36" w:rsidP="00B12674">
      <w:pPr>
        <w:pStyle w:val="ColorfulList-Accent11"/>
        <w:numPr>
          <w:ilvl w:val="0"/>
          <w:numId w:val="3"/>
        </w:numPr>
        <w:spacing w:after="0" w:line="240" w:lineRule="auto"/>
        <w:jc w:val="both"/>
        <w:rPr>
          <w:color w:val="000000"/>
          <w:lang w:val="ro-RO"/>
        </w:rPr>
      </w:pPr>
      <w:r w:rsidRPr="00466D08">
        <w:rPr>
          <w:b/>
          <w:bCs/>
          <w:color w:val="000000"/>
          <w:lang w:val="ro-RO"/>
        </w:rPr>
        <w:t>Principiul subsidiarităţii</w:t>
      </w:r>
      <w:r w:rsidRPr="00466D08">
        <w:rPr>
          <w:color w:val="000000"/>
          <w:lang w:val="ro-RO"/>
        </w:rPr>
        <w:t xml:space="preserve"> - asigurarea subsidiarităţii în procesul de atribuire a responsabilităţilor, astfel încât politicile, programele şi acţiunile să fie coordonate şi implementate la nivelul cel mai adecvat din perspectiva eficienţei şi eficacităţii.</w:t>
      </w:r>
    </w:p>
    <w:p w:rsidR="00B50A36" w:rsidRPr="00466D08" w:rsidRDefault="00B50A36" w:rsidP="00B12674">
      <w:pPr>
        <w:pStyle w:val="ColorfulList-Accent11"/>
        <w:numPr>
          <w:ilvl w:val="0"/>
          <w:numId w:val="3"/>
        </w:numPr>
        <w:spacing w:after="0" w:line="240" w:lineRule="auto"/>
        <w:jc w:val="both"/>
        <w:rPr>
          <w:color w:val="000000"/>
          <w:lang w:val="ro-RO"/>
        </w:rPr>
      </w:pPr>
      <w:r w:rsidRPr="00466D08">
        <w:rPr>
          <w:b/>
          <w:bCs/>
          <w:color w:val="000000"/>
          <w:lang w:val="ro-RO"/>
        </w:rPr>
        <w:lastRenderedPageBreak/>
        <w:t>Principiul managementului bazat pe rezultate</w:t>
      </w:r>
      <w:r w:rsidRPr="00466D08">
        <w:rPr>
          <w:color w:val="000000"/>
          <w:lang w:val="ro-RO"/>
        </w:rPr>
        <w:t xml:space="preserve"> - asigurarea capacităţii de management orientat spre rezultate la nivelul tuturor entităţilor responsabile de implementarea politicilor, programelor şi măsurilor în domeniul tineretului.</w:t>
      </w:r>
    </w:p>
    <w:p w:rsidR="00B50A36" w:rsidRPr="00466D08" w:rsidRDefault="00B50A36" w:rsidP="00B12674">
      <w:pPr>
        <w:pStyle w:val="ColorfulList-Accent11"/>
        <w:numPr>
          <w:ilvl w:val="0"/>
          <w:numId w:val="3"/>
        </w:numPr>
        <w:spacing w:after="0" w:line="240" w:lineRule="auto"/>
        <w:jc w:val="both"/>
        <w:rPr>
          <w:color w:val="000000"/>
          <w:lang w:val="ro-RO"/>
        </w:rPr>
      </w:pPr>
      <w:r w:rsidRPr="00466D08">
        <w:rPr>
          <w:b/>
          <w:bCs/>
          <w:color w:val="000000"/>
          <w:lang w:val="ro-RO"/>
        </w:rPr>
        <w:t>Principiul transparenţei</w:t>
      </w:r>
      <w:r w:rsidRPr="00466D08">
        <w:rPr>
          <w:color w:val="000000"/>
          <w:lang w:val="ro-RO"/>
        </w:rPr>
        <w:t xml:space="preserve"> - asigurarea transparenţei şi a accesului la informaţii şi la tehnologii informaţionale adecvate pentru toţi tinerii şi pentru toate structurile implicate în implementarea Stragiei.</w:t>
      </w:r>
    </w:p>
    <w:p w:rsidR="00B50A36" w:rsidRPr="00466D08" w:rsidRDefault="00B50A36" w:rsidP="00B12674">
      <w:pPr>
        <w:pStyle w:val="ColorfulList-Accent11"/>
        <w:numPr>
          <w:ilvl w:val="0"/>
          <w:numId w:val="3"/>
        </w:numPr>
        <w:spacing w:after="0" w:line="240" w:lineRule="auto"/>
        <w:jc w:val="both"/>
        <w:rPr>
          <w:color w:val="000000"/>
          <w:lang w:val="ro-RO"/>
        </w:rPr>
      </w:pPr>
      <w:r w:rsidRPr="00466D08">
        <w:rPr>
          <w:b/>
          <w:bCs/>
          <w:color w:val="000000"/>
          <w:lang w:val="ro-RO"/>
        </w:rPr>
        <w:t>Principiul intervenţiei timpurii</w:t>
      </w:r>
      <w:r w:rsidRPr="00466D08">
        <w:rPr>
          <w:color w:val="000000"/>
          <w:lang w:val="ro-RO"/>
        </w:rPr>
        <w:t xml:space="preserve"> - includerea, unde este cazul, a unei dimensiuni de politică privind copiii, privitoare la drepturile şi protecţia acestora, având în vedere că viaţa şi perspectivele de viitor ale tinerilor sunt semnificativ determinate de oportunităţile, sprijinul şi protecţia primite în cursul copilăriei.</w:t>
      </w:r>
    </w:p>
    <w:p w:rsidR="00B50A36" w:rsidRDefault="00B50A36" w:rsidP="00B12674">
      <w:pPr>
        <w:jc w:val="both"/>
        <w:rPr>
          <w:lang w:val="ro-RO"/>
        </w:rPr>
      </w:pPr>
    </w:p>
    <w:p w:rsidR="00B50A36" w:rsidRPr="00F473EE" w:rsidRDefault="00B50A36" w:rsidP="00B12674">
      <w:pPr>
        <w:pStyle w:val="Heading1"/>
        <w:jc w:val="both"/>
        <w:rPr>
          <w:rFonts w:cs="Times New Roman"/>
          <w:lang w:val="ro-RO"/>
        </w:rPr>
      </w:pPr>
      <w:bookmarkStart w:id="80" w:name="_Toc370211873"/>
      <w:r w:rsidRPr="00757671">
        <w:rPr>
          <w:lang w:val="ro-RO"/>
        </w:rPr>
        <w:t>Domenii principale de intervenţie, obiective specifice şi direcţii de acţiune</w:t>
      </w:r>
      <w:bookmarkEnd w:id="80"/>
    </w:p>
    <w:p w:rsidR="00B50A36" w:rsidRPr="00F473EE" w:rsidRDefault="00B50A36" w:rsidP="00B12674">
      <w:pPr>
        <w:jc w:val="both"/>
        <w:rPr>
          <w:sz w:val="24"/>
          <w:szCs w:val="24"/>
          <w:lang w:val="ro-RO"/>
        </w:rPr>
      </w:pPr>
    </w:p>
    <w:p w:rsidR="00B50A36" w:rsidRPr="00F473EE" w:rsidRDefault="00B50A36" w:rsidP="00B12674">
      <w:pPr>
        <w:pStyle w:val="Heading2"/>
        <w:numPr>
          <w:ilvl w:val="0"/>
          <w:numId w:val="25"/>
        </w:numPr>
        <w:jc w:val="both"/>
        <w:rPr>
          <w:rFonts w:cs="Times New Roman"/>
          <w:lang w:val="ro-RO"/>
        </w:rPr>
      </w:pPr>
      <w:bookmarkStart w:id="81" w:name="_Toc370211874"/>
      <w:r w:rsidRPr="00757671">
        <w:rPr>
          <w:lang w:val="ro-RO"/>
        </w:rPr>
        <w:t>Cultură şi Educaţie Non-formală</w:t>
      </w:r>
      <w:bookmarkEnd w:id="81"/>
    </w:p>
    <w:p w:rsidR="00B50A36" w:rsidRDefault="00B50A36" w:rsidP="00B12674">
      <w:pPr>
        <w:jc w:val="both"/>
        <w:rPr>
          <w:sz w:val="24"/>
          <w:szCs w:val="24"/>
          <w:lang w:val="ro-RO"/>
        </w:rPr>
      </w:pPr>
    </w:p>
    <w:p w:rsidR="00B50A36" w:rsidRPr="00527682" w:rsidRDefault="00B50A36" w:rsidP="00B12674">
      <w:pPr>
        <w:pStyle w:val="Heading3"/>
        <w:jc w:val="both"/>
        <w:rPr>
          <w:rFonts w:cs="Times New Roman"/>
          <w:lang w:val="ro-RO"/>
        </w:rPr>
      </w:pPr>
      <w:bookmarkStart w:id="82" w:name="_Toc370211875"/>
      <w:r w:rsidRPr="00527682">
        <w:rPr>
          <w:lang w:val="ro-RO"/>
        </w:rPr>
        <w:t>Obiective specifice şi direcţii de acţiune</w:t>
      </w:r>
      <w:bookmarkEnd w:id="82"/>
    </w:p>
    <w:p w:rsidR="00B50A36" w:rsidRPr="00527682" w:rsidRDefault="00B50A36" w:rsidP="00B12674">
      <w:pPr>
        <w:pStyle w:val="Heading4"/>
        <w:numPr>
          <w:ilvl w:val="1"/>
          <w:numId w:val="25"/>
        </w:numPr>
        <w:jc w:val="both"/>
        <w:rPr>
          <w:lang w:val="ro-RO"/>
        </w:rPr>
      </w:pPr>
      <w:r w:rsidRPr="00527682">
        <w:rPr>
          <w:lang w:val="ro-RO"/>
        </w:rPr>
        <w:t>Asigurarea  accesului tuturor tinerilor la formare şi educaţie de calitate,  atât formală cât şi non-formală</w:t>
      </w:r>
    </w:p>
    <w:p w:rsidR="00B50A36" w:rsidRDefault="00B50A36" w:rsidP="00B12674">
      <w:pPr>
        <w:pStyle w:val="Heading5"/>
        <w:jc w:val="both"/>
        <w:rPr>
          <w:rFonts w:cs="Times New Roman"/>
          <w:lang w:val="ro-RO"/>
        </w:rPr>
      </w:pPr>
      <w:r w:rsidRPr="00527682">
        <w:rPr>
          <w:lang w:val="ro-RO"/>
        </w:rPr>
        <w:t>Direc</w:t>
      </w:r>
      <w:r>
        <w:rPr>
          <w:rFonts w:ascii="Cambria Math" w:hAnsi="Cambria Math" w:cs="Cambria Math"/>
          <w:lang w:val="ro-RO"/>
        </w:rPr>
        <w:t>ţ</w:t>
      </w:r>
      <w:r w:rsidRPr="00527682">
        <w:rPr>
          <w:lang w:val="ro-RO"/>
        </w:rPr>
        <w:t>ii de ac</w:t>
      </w:r>
      <w:r>
        <w:rPr>
          <w:rFonts w:ascii="Cambria Math" w:hAnsi="Cambria Math" w:cs="Cambria Math"/>
          <w:lang w:val="ro-RO"/>
        </w:rPr>
        <w:t>ţ</w:t>
      </w:r>
      <w:r w:rsidRPr="00527682">
        <w:rPr>
          <w:lang w:val="ro-RO"/>
        </w:rPr>
        <w:t>iune</w:t>
      </w:r>
    </w:p>
    <w:p w:rsidR="00B50A36" w:rsidRPr="00466D08" w:rsidRDefault="00B50A36" w:rsidP="00B12674">
      <w:pPr>
        <w:pStyle w:val="ColorfulList-Accent11"/>
        <w:numPr>
          <w:ilvl w:val="1"/>
          <w:numId w:val="20"/>
        </w:numPr>
        <w:ind w:left="360"/>
        <w:jc w:val="both"/>
        <w:rPr>
          <w:lang w:val="ro-RO"/>
        </w:rPr>
      </w:pPr>
      <w:r>
        <w:rPr>
          <w:lang w:val="ro-RO"/>
        </w:rPr>
        <w:t>D</w:t>
      </w:r>
      <w:r w:rsidRPr="00466D08">
        <w:rPr>
          <w:lang w:val="ro-RO"/>
        </w:rPr>
        <w:t xml:space="preserve">ezvoltarea </w:t>
      </w:r>
      <w:r>
        <w:rPr>
          <w:lang w:val="ro-RO"/>
        </w:rPr>
        <w:t xml:space="preserve">activităţilor cu tinerii (a </w:t>
      </w:r>
      <w:r w:rsidRPr="00466D08">
        <w:rPr>
          <w:lang w:val="ro-RO"/>
        </w:rPr>
        <w:t>muncii de tineret</w:t>
      </w:r>
      <w:r>
        <w:rPr>
          <w:lang w:val="ro-RO"/>
        </w:rPr>
        <w:t>)</w:t>
      </w:r>
      <w:r w:rsidRPr="00466D08">
        <w:rPr>
          <w:lang w:val="ro-RO"/>
        </w:rPr>
        <w:t xml:space="preserve">, </w:t>
      </w:r>
      <w:r>
        <w:rPr>
          <w:lang w:val="ro-RO"/>
        </w:rPr>
        <w:t xml:space="preserve">a </w:t>
      </w:r>
      <w:r w:rsidRPr="00466D08">
        <w:rPr>
          <w:lang w:val="ro-RO"/>
        </w:rPr>
        <w:t>consilier</w:t>
      </w:r>
      <w:r>
        <w:rPr>
          <w:lang w:val="ro-RO"/>
        </w:rPr>
        <w:t>ii</w:t>
      </w:r>
      <w:r w:rsidRPr="00466D08">
        <w:rPr>
          <w:lang w:val="ro-RO"/>
        </w:rPr>
        <w:t xml:space="preserve"> şi oportunităţi</w:t>
      </w:r>
      <w:r>
        <w:rPr>
          <w:lang w:val="ro-RO"/>
        </w:rPr>
        <w:t>lor</w:t>
      </w:r>
      <w:r w:rsidRPr="00466D08">
        <w:rPr>
          <w:lang w:val="ro-RO"/>
        </w:rPr>
        <w:t xml:space="preserve"> de învăţare non-formală</w:t>
      </w:r>
      <w:r>
        <w:rPr>
          <w:lang w:val="ro-RO"/>
        </w:rPr>
        <w:t xml:space="preserve"> orientate  către grupurile cu risc mare de părăsire timpurie a şcolii;</w:t>
      </w:r>
    </w:p>
    <w:p w:rsidR="00B50A36" w:rsidRDefault="00B50A36" w:rsidP="00B12674">
      <w:pPr>
        <w:pStyle w:val="ColorfulList-Accent11"/>
        <w:numPr>
          <w:ilvl w:val="1"/>
          <w:numId w:val="20"/>
        </w:numPr>
        <w:ind w:left="360"/>
        <w:jc w:val="both"/>
        <w:rPr>
          <w:lang w:val="ro-RO"/>
        </w:rPr>
      </w:pPr>
      <w:r w:rsidRPr="00466D08">
        <w:rPr>
          <w:lang w:val="ro-RO"/>
        </w:rPr>
        <w:t xml:space="preserve">Extinderea consilierii şcolare şi vocaţionale atât prin </w:t>
      </w:r>
      <w:r>
        <w:rPr>
          <w:lang w:val="ro-RO"/>
        </w:rPr>
        <w:t xml:space="preserve">creşterea numărului de consilieri şi </w:t>
      </w:r>
      <w:r w:rsidRPr="00466D08">
        <w:rPr>
          <w:lang w:val="ro-RO"/>
        </w:rPr>
        <w:t>diversificarea reţelelor de consiliere (nu doar în şcoli</w:t>
      </w:r>
      <w:r>
        <w:rPr>
          <w:lang w:val="ro-RO"/>
        </w:rPr>
        <w:t xml:space="preserve">, </w:t>
      </w:r>
      <w:r w:rsidRPr="00466D08">
        <w:rPr>
          <w:lang w:val="ro-RO"/>
        </w:rPr>
        <w:t>ci şi în centrele de tineret</w:t>
      </w:r>
      <w:r>
        <w:rPr>
          <w:lang w:val="ro-RO"/>
        </w:rPr>
        <w:t>, în Casele de Cultură ale Studenţilor, în cadrul ONGT</w:t>
      </w:r>
      <w:r w:rsidRPr="00466D08">
        <w:rPr>
          <w:lang w:val="ro-RO"/>
        </w:rPr>
        <w:t>) cât şi prin cuprinderea obligatorie în sistemul de consiliere</w:t>
      </w:r>
      <w:r>
        <w:rPr>
          <w:lang w:val="ro-RO"/>
        </w:rPr>
        <w:t xml:space="preserve"> atât</w:t>
      </w:r>
      <w:r w:rsidRPr="00466D08">
        <w:rPr>
          <w:lang w:val="ro-RO"/>
        </w:rPr>
        <w:t xml:space="preserve"> a elevilor începând cu clasele a VII-a şi a VIIII-a</w:t>
      </w:r>
      <w:r>
        <w:rPr>
          <w:lang w:val="ro-RO"/>
        </w:rPr>
        <w:t>, cât</w:t>
      </w:r>
      <w:r w:rsidRPr="00466D08">
        <w:rPr>
          <w:lang w:val="ro-RO"/>
        </w:rPr>
        <w:t xml:space="preserve"> și</w:t>
      </w:r>
      <w:r>
        <w:rPr>
          <w:lang w:val="ro-RO"/>
        </w:rPr>
        <w:t xml:space="preserve"> a</w:t>
      </w:r>
      <w:r w:rsidRPr="00466D08">
        <w:rPr>
          <w:lang w:val="ro-RO"/>
        </w:rPr>
        <w:t xml:space="preserve"> tinerilor care nu mai frecventează școala dar se confruntă cu difciultă</w:t>
      </w:r>
      <w:r>
        <w:rPr>
          <w:lang w:val="ro-RO"/>
        </w:rPr>
        <w:t>ţ</w:t>
      </w:r>
      <w:r w:rsidRPr="00466D08">
        <w:rPr>
          <w:lang w:val="ro-RO"/>
        </w:rPr>
        <w:t>i profesionale și sociale</w:t>
      </w:r>
      <w:r>
        <w:rPr>
          <w:lang w:val="ro-RO"/>
        </w:rPr>
        <w:t>;</w:t>
      </w:r>
    </w:p>
    <w:p w:rsidR="00B50A36" w:rsidRPr="00584B76" w:rsidRDefault="00B50A36" w:rsidP="00B12674">
      <w:pPr>
        <w:pStyle w:val="ColorfulList-Accent11"/>
        <w:numPr>
          <w:ilvl w:val="1"/>
          <w:numId w:val="20"/>
        </w:numPr>
        <w:ind w:left="360"/>
        <w:jc w:val="both"/>
        <w:rPr>
          <w:lang w:val="ro-RO"/>
        </w:rPr>
      </w:pPr>
      <w:r w:rsidRPr="00584B76">
        <w:rPr>
          <w:sz w:val="24"/>
          <w:szCs w:val="24"/>
          <w:lang w:val="ro-RO"/>
        </w:rPr>
        <w:t>Implementarea de măsuri de preven</w:t>
      </w:r>
      <w:r>
        <w:rPr>
          <w:sz w:val="24"/>
          <w:szCs w:val="24"/>
          <w:lang w:val="ro-RO"/>
        </w:rPr>
        <w:t>ţ</w:t>
      </w:r>
      <w:r w:rsidRPr="00584B76">
        <w:rPr>
          <w:sz w:val="24"/>
          <w:szCs w:val="24"/>
          <w:lang w:val="ro-RO"/>
        </w:rPr>
        <w:t>ie, interven</w:t>
      </w:r>
      <w:r>
        <w:rPr>
          <w:sz w:val="24"/>
          <w:szCs w:val="24"/>
          <w:lang w:val="ro-RO"/>
        </w:rPr>
        <w:t>ţ</w:t>
      </w:r>
      <w:r w:rsidRPr="00584B76">
        <w:rPr>
          <w:sz w:val="24"/>
          <w:szCs w:val="24"/>
          <w:lang w:val="ro-RO"/>
        </w:rPr>
        <w:t>ie și compensatorii pentru reducerea părăsirii timpurii a școlii, inclusiv  forme alternative de învă</w:t>
      </w:r>
      <w:r>
        <w:rPr>
          <w:sz w:val="24"/>
          <w:szCs w:val="24"/>
          <w:lang w:val="ro-RO"/>
        </w:rPr>
        <w:t>ţ</w:t>
      </w:r>
      <w:r w:rsidRPr="00584B76">
        <w:rPr>
          <w:sz w:val="24"/>
          <w:szCs w:val="24"/>
          <w:lang w:val="ro-RO"/>
        </w:rPr>
        <w:t>ământ, precum educa</w:t>
      </w:r>
      <w:r>
        <w:rPr>
          <w:sz w:val="24"/>
          <w:szCs w:val="24"/>
          <w:lang w:val="ro-RO"/>
        </w:rPr>
        <w:t>ţ</w:t>
      </w:r>
      <w:r w:rsidRPr="00584B76">
        <w:rPr>
          <w:sz w:val="24"/>
          <w:szCs w:val="24"/>
          <w:lang w:val="ro-RO"/>
        </w:rPr>
        <w:t>ia și formarea pentru adul</w:t>
      </w:r>
      <w:r>
        <w:rPr>
          <w:sz w:val="24"/>
          <w:szCs w:val="24"/>
          <w:lang w:val="ro-RO"/>
        </w:rPr>
        <w:t>ţ</w:t>
      </w:r>
      <w:r w:rsidRPr="00584B76">
        <w:rPr>
          <w:sz w:val="24"/>
          <w:szCs w:val="24"/>
          <w:lang w:val="ro-RO"/>
        </w:rPr>
        <w:t>i, cu accent asupra zonelor rurale și a tinerilor de etnie romă;</w:t>
      </w:r>
    </w:p>
    <w:p w:rsidR="00B50A36" w:rsidRDefault="00B50A36" w:rsidP="00B12674">
      <w:pPr>
        <w:pStyle w:val="ColorfulList-Accent11"/>
        <w:numPr>
          <w:ilvl w:val="1"/>
          <w:numId w:val="20"/>
        </w:numPr>
        <w:ind w:left="360"/>
        <w:jc w:val="both"/>
        <w:rPr>
          <w:sz w:val="24"/>
          <w:szCs w:val="24"/>
          <w:lang w:val="ro-RO"/>
        </w:rPr>
      </w:pPr>
      <w:r w:rsidRPr="00584B76">
        <w:rPr>
          <w:sz w:val="24"/>
          <w:szCs w:val="24"/>
          <w:lang w:val="ro-RO"/>
        </w:rPr>
        <w:t>Sprijinirea tinerilor din zonele rurale și din</w:t>
      </w:r>
      <w:r>
        <w:rPr>
          <w:sz w:val="24"/>
          <w:szCs w:val="24"/>
          <w:lang w:val="ro-RO"/>
        </w:rPr>
        <w:t xml:space="preserve"> rândul grupurilor defavorizate</w:t>
      </w:r>
      <w:r w:rsidRPr="00584B76">
        <w:rPr>
          <w:sz w:val="24"/>
          <w:szCs w:val="24"/>
          <w:lang w:val="ro-RO"/>
        </w:rPr>
        <w:t xml:space="preserve"> în vederea sporirii accesului, a participării și a gradului de școlarizare inclusiv în învă</w:t>
      </w:r>
      <w:r>
        <w:rPr>
          <w:sz w:val="24"/>
          <w:szCs w:val="24"/>
          <w:lang w:val="ro-RO"/>
        </w:rPr>
        <w:t>ţ</w:t>
      </w:r>
      <w:r w:rsidRPr="00584B76">
        <w:rPr>
          <w:sz w:val="24"/>
          <w:szCs w:val="24"/>
          <w:lang w:val="ro-RO"/>
        </w:rPr>
        <w:t>ământul ter</w:t>
      </w:r>
      <w:r>
        <w:rPr>
          <w:sz w:val="24"/>
          <w:szCs w:val="24"/>
          <w:lang w:val="ro-RO"/>
        </w:rPr>
        <w:t>ţ</w:t>
      </w:r>
      <w:r w:rsidRPr="00584B76">
        <w:rPr>
          <w:sz w:val="24"/>
          <w:szCs w:val="24"/>
          <w:lang w:val="ro-RO"/>
        </w:rPr>
        <w:t>iar;</w:t>
      </w:r>
      <w:r w:rsidRPr="00B83F03">
        <w:rPr>
          <w:sz w:val="24"/>
          <w:szCs w:val="24"/>
          <w:lang w:val="ro-RO"/>
        </w:rPr>
        <w:t xml:space="preserve"> </w:t>
      </w:r>
    </w:p>
    <w:p w:rsidR="00B50A36" w:rsidRPr="00B83F03" w:rsidRDefault="00B50A36" w:rsidP="00B12674">
      <w:pPr>
        <w:pStyle w:val="ColorfulList-Accent11"/>
        <w:ind w:left="644"/>
        <w:jc w:val="both"/>
        <w:rPr>
          <w:sz w:val="24"/>
          <w:szCs w:val="24"/>
          <w:lang w:val="ro-RO"/>
        </w:rPr>
      </w:pPr>
    </w:p>
    <w:p w:rsidR="00B50A36" w:rsidRPr="00DE0203" w:rsidRDefault="00B50A36" w:rsidP="00B12674">
      <w:pPr>
        <w:pStyle w:val="Heading4"/>
        <w:numPr>
          <w:ilvl w:val="1"/>
          <w:numId w:val="25"/>
        </w:numPr>
        <w:jc w:val="both"/>
        <w:rPr>
          <w:lang w:val="ro-RO"/>
        </w:rPr>
      </w:pPr>
      <w:r w:rsidRPr="00DE0203">
        <w:rPr>
          <w:lang w:val="ro-RO"/>
        </w:rPr>
        <w:lastRenderedPageBreak/>
        <w:t>Asigurarea unei mai bune relevan</w:t>
      </w:r>
      <w:r>
        <w:rPr>
          <w:lang w:val="ro-RO"/>
        </w:rPr>
        <w:t>ţ</w:t>
      </w:r>
      <w:r w:rsidRPr="00DE0203">
        <w:rPr>
          <w:lang w:val="ro-RO"/>
        </w:rPr>
        <w:t>e practice a abilită</w:t>
      </w:r>
      <w:r>
        <w:rPr>
          <w:lang w:val="ro-RO"/>
        </w:rPr>
        <w:t>ţ</w:t>
      </w:r>
      <w:r w:rsidRPr="00DE0203">
        <w:rPr>
          <w:lang w:val="ro-RO"/>
        </w:rPr>
        <w:t>ilor dobândite prin educa</w:t>
      </w:r>
      <w:r>
        <w:rPr>
          <w:lang w:val="ro-RO"/>
        </w:rPr>
        <w:t>ţ</w:t>
      </w:r>
      <w:r w:rsidRPr="00DE0203">
        <w:rPr>
          <w:lang w:val="ro-RO"/>
        </w:rPr>
        <w:t xml:space="preserve">ie formală și  non-formală </w:t>
      </w:r>
    </w:p>
    <w:p w:rsidR="00B50A36" w:rsidRPr="00527682" w:rsidRDefault="00B50A36" w:rsidP="00B12674">
      <w:pPr>
        <w:pStyle w:val="ColorfulList-Accent11"/>
        <w:ind w:left="786"/>
        <w:jc w:val="both"/>
        <w:rPr>
          <w:b/>
          <w:bCs/>
          <w:sz w:val="24"/>
          <w:szCs w:val="24"/>
          <w:lang w:val="ro-RO"/>
        </w:rPr>
      </w:pPr>
    </w:p>
    <w:p w:rsidR="00B50A36" w:rsidRPr="00527682" w:rsidRDefault="00B50A36" w:rsidP="00B12674">
      <w:pPr>
        <w:pStyle w:val="Heading5"/>
        <w:jc w:val="both"/>
        <w:rPr>
          <w:rFonts w:cs="Times New Roman"/>
          <w:lang w:val="ro-RO"/>
        </w:rPr>
      </w:pPr>
      <w:r w:rsidRPr="00527682">
        <w:rPr>
          <w:lang w:val="ro-RO"/>
        </w:rPr>
        <w:t>Direc</w:t>
      </w:r>
      <w:r>
        <w:rPr>
          <w:rFonts w:ascii="Cambria Math" w:hAnsi="Cambria Math" w:cs="Cambria Math"/>
          <w:lang w:val="ro-RO"/>
        </w:rPr>
        <w:t>ţ</w:t>
      </w:r>
      <w:r w:rsidRPr="00527682">
        <w:rPr>
          <w:lang w:val="ro-RO"/>
        </w:rPr>
        <w:t>ii de ac</w:t>
      </w:r>
      <w:r>
        <w:rPr>
          <w:rFonts w:ascii="Cambria Math" w:hAnsi="Cambria Math" w:cs="Cambria Math"/>
          <w:lang w:val="ro-RO"/>
        </w:rPr>
        <w:t>ţ</w:t>
      </w:r>
      <w:r w:rsidRPr="00527682">
        <w:rPr>
          <w:lang w:val="ro-RO"/>
        </w:rPr>
        <w:t>iune</w:t>
      </w:r>
    </w:p>
    <w:p w:rsidR="00B50A36" w:rsidRPr="00466D08" w:rsidRDefault="00B50A36" w:rsidP="00B12674">
      <w:pPr>
        <w:pStyle w:val="ColorfulList-Accent11"/>
        <w:numPr>
          <w:ilvl w:val="1"/>
          <w:numId w:val="19"/>
        </w:numPr>
        <w:ind w:left="360"/>
        <w:jc w:val="both"/>
        <w:rPr>
          <w:lang w:val="ro-RO"/>
        </w:rPr>
      </w:pPr>
      <w:r w:rsidRPr="00466D08">
        <w:rPr>
          <w:lang w:val="ro-RO"/>
        </w:rPr>
        <w:t xml:space="preserve">Orientarea educaţiei non-formale cu preponderenţă către domenii care  asigură buna integrare socială a tinerilor şi manifestarea lor mai activă şi mai responsabilă: educaţie pentru cetăţenie şi cunoaşterea  drepturilor şi obligaţiilor ce le revin ca tineri şi ca viitori adulţi, </w:t>
      </w:r>
      <w:r>
        <w:rPr>
          <w:lang w:val="ro-RO"/>
        </w:rPr>
        <w:t xml:space="preserve">educaţie şi orientare antreprnorială timpurie, educaţie pentru muncă, </w:t>
      </w:r>
      <w:r w:rsidRPr="00466D08">
        <w:rPr>
          <w:lang w:val="ro-RO"/>
        </w:rPr>
        <w:t>educaţie pentru un stil de viaţă sănătos, educaţie parentală</w:t>
      </w:r>
      <w:r>
        <w:rPr>
          <w:lang w:val="ro-RO"/>
        </w:rPr>
        <w:t xml:space="preserve"> şi educaţie a părinţilor</w:t>
      </w:r>
      <w:r w:rsidRPr="00466D08">
        <w:rPr>
          <w:lang w:val="ro-RO"/>
        </w:rPr>
        <w:t xml:space="preserve"> etc</w:t>
      </w:r>
      <w:r>
        <w:rPr>
          <w:lang w:val="ro-RO"/>
        </w:rPr>
        <w:t>;</w:t>
      </w:r>
    </w:p>
    <w:p w:rsidR="00B50A36" w:rsidRPr="00A00691" w:rsidRDefault="00B50A36" w:rsidP="00B12674">
      <w:pPr>
        <w:pStyle w:val="ColorfulList-Accent11"/>
        <w:numPr>
          <w:ilvl w:val="1"/>
          <w:numId w:val="19"/>
        </w:numPr>
        <w:ind w:left="360"/>
        <w:jc w:val="both"/>
        <w:rPr>
          <w:lang w:val="ro-RO"/>
        </w:rPr>
      </w:pPr>
      <w:r w:rsidRPr="00466D08">
        <w:rPr>
          <w:lang w:val="ro-RO"/>
        </w:rPr>
        <w:t>Stimularea participării tinerilor la activităţi de dobândire a unei experienţe iniţiale de muncă</w:t>
      </w:r>
      <w:r w:rsidRPr="00A00691">
        <w:rPr>
          <w:lang w:val="ro-RO"/>
        </w:rPr>
        <w:t>;</w:t>
      </w:r>
    </w:p>
    <w:p w:rsidR="00B50A36" w:rsidRDefault="00B50A36" w:rsidP="00B12674">
      <w:pPr>
        <w:pStyle w:val="ColorfulList-Accent11"/>
        <w:numPr>
          <w:ilvl w:val="1"/>
          <w:numId w:val="19"/>
        </w:numPr>
        <w:ind w:left="360"/>
        <w:jc w:val="both"/>
        <w:rPr>
          <w:lang w:val="ro-RO"/>
        </w:rPr>
      </w:pPr>
      <w:r w:rsidRPr="00A00691">
        <w:rPr>
          <w:lang w:val="ro-RO"/>
        </w:rPr>
        <w:t>Urmărirea creșterii relevan</w:t>
      </w:r>
      <w:r>
        <w:rPr>
          <w:lang w:val="ro-RO"/>
        </w:rPr>
        <w:t>ţ</w:t>
      </w:r>
      <w:r w:rsidRPr="00A00691">
        <w:rPr>
          <w:lang w:val="ro-RO"/>
        </w:rPr>
        <w:t>ei programelor de învă</w:t>
      </w:r>
      <w:r>
        <w:rPr>
          <w:lang w:val="ro-RO"/>
        </w:rPr>
        <w:t>ţ</w:t>
      </w:r>
      <w:r w:rsidRPr="00A00691">
        <w:rPr>
          <w:lang w:val="ro-RO"/>
        </w:rPr>
        <w:t>ământ, inclusiv la învăţământul superior</w:t>
      </w:r>
      <w:r>
        <w:rPr>
          <w:lang w:val="ro-RO"/>
        </w:rPr>
        <w:t>,</w:t>
      </w:r>
      <w:r w:rsidRPr="00A00691">
        <w:rPr>
          <w:lang w:val="ro-RO"/>
        </w:rPr>
        <w:t xml:space="preserve"> în raport cu nevoile de pe pia</w:t>
      </w:r>
      <w:r>
        <w:rPr>
          <w:lang w:val="ro-RO"/>
        </w:rPr>
        <w:t>ţ</w:t>
      </w:r>
      <w:r w:rsidRPr="00A00691">
        <w:rPr>
          <w:lang w:val="ro-RO"/>
        </w:rPr>
        <w:t>a muncii și consolidarea parteneriatelor între unităţi de învăţământ, întreprinderi și cercetare;</w:t>
      </w:r>
    </w:p>
    <w:p w:rsidR="00B50A36" w:rsidRPr="00A00691" w:rsidRDefault="00B50A36" w:rsidP="00B12674">
      <w:pPr>
        <w:pStyle w:val="ColorfulList-Accent11"/>
        <w:ind w:left="360"/>
        <w:jc w:val="both"/>
        <w:rPr>
          <w:lang w:val="ro-RO"/>
        </w:rPr>
      </w:pPr>
    </w:p>
    <w:p w:rsidR="00B50A36" w:rsidRPr="00527682" w:rsidRDefault="00B50A36" w:rsidP="00B12674">
      <w:pPr>
        <w:pStyle w:val="Heading4"/>
        <w:numPr>
          <w:ilvl w:val="1"/>
          <w:numId w:val="25"/>
        </w:numPr>
        <w:jc w:val="both"/>
        <w:rPr>
          <w:rFonts w:cs="Times New Roman"/>
          <w:lang w:val="ro-RO"/>
        </w:rPr>
      </w:pPr>
      <w:r w:rsidRPr="00527682">
        <w:rPr>
          <w:lang w:val="ro-RO"/>
        </w:rPr>
        <w:t xml:space="preserve"> Îmbunătă</w:t>
      </w:r>
      <w:r>
        <w:rPr>
          <w:rFonts w:ascii="Arial" w:hAnsi="Arial" w:cs="Arial"/>
          <w:lang w:val="ro-RO"/>
        </w:rPr>
        <w:t>ţ</w:t>
      </w:r>
      <w:r w:rsidRPr="00527682">
        <w:rPr>
          <w:lang w:val="ro-RO"/>
        </w:rPr>
        <w:t>irea ofertei de educa</w:t>
      </w:r>
      <w:r>
        <w:rPr>
          <w:rFonts w:ascii="Arial" w:hAnsi="Arial" w:cs="Arial"/>
          <w:lang w:val="ro-RO"/>
        </w:rPr>
        <w:t>ţ</w:t>
      </w:r>
      <w:r w:rsidRPr="00527682">
        <w:rPr>
          <w:lang w:val="ro-RO"/>
        </w:rPr>
        <w:t>ie non-formală</w:t>
      </w:r>
    </w:p>
    <w:p w:rsidR="00C76ED0" w:rsidRDefault="00C76ED0" w:rsidP="00B12674">
      <w:pPr>
        <w:pStyle w:val="Heading5"/>
        <w:jc w:val="both"/>
        <w:rPr>
          <w:lang w:val="ro-RO"/>
        </w:rPr>
      </w:pPr>
    </w:p>
    <w:p w:rsidR="00B50A36" w:rsidRDefault="00B50A36" w:rsidP="00B12674">
      <w:pPr>
        <w:pStyle w:val="Heading5"/>
        <w:jc w:val="both"/>
        <w:rPr>
          <w:rFonts w:cs="Times New Roman"/>
          <w:lang w:val="ro-RO"/>
        </w:rPr>
      </w:pPr>
      <w:r w:rsidRPr="00527682">
        <w:rPr>
          <w:lang w:val="ro-RO"/>
        </w:rPr>
        <w:t>Direc</w:t>
      </w:r>
      <w:r>
        <w:rPr>
          <w:rFonts w:ascii="Cambria Math" w:hAnsi="Cambria Math" w:cs="Cambria Math"/>
          <w:lang w:val="ro-RO"/>
        </w:rPr>
        <w:t>ţ</w:t>
      </w:r>
      <w:r w:rsidRPr="00527682">
        <w:rPr>
          <w:lang w:val="ro-RO"/>
        </w:rPr>
        <w:t>ii de ac</w:t>
      </w:r>
      <w:r>
        <w:rPr>
          <w:rFonts w:ascii="Cambria Math" w:hAnsi="Cambria Math" w:cs="Cambria Math"/>
          <w:lang w:val="ro-RO"/>
        </w:rPr>
        <w:t>ţ</w:t>
      </w:r>
      <w:r w:rsidRPr="00527682">
        <w:rPr>
          <w:lang w:val="ro-RO"/>
        </w:rPr>
        <w:t>iune</w:t>
      </w:r>
    </w:p>
    <w:p w:rsidR="00B50A36" w:rsidRDefault="00B50A36" w:rsidP="00B12674">
      <w:pPr>
        <w:pStyle w:val="ColorfulList-Accent11"/>
        <w:numPr>
          <w:ilvl w:val="0"/>
          <w:numId w:val="37"/>
        </w:numPr>
        <w:jc w:val="both"/>
        <w:rPr>
          <w:lang w:val="ro-RO"/>
        </w:rPr>
      </w:pPr>
      <w:r w:rsidRPr="00466D08">
        <w:rPr>
          <w:lang w:val="ro-RO"/>
        </w:rPr>
        <w:t>Extinderea activită</w:t>
      </w:r>
      <w:r>
        <w:rPr>
          <w:lang w:val="ro-RO"/>
        </w:rPr>
        <w:t>ţ</w:t>
      </w:r>
      <w:r w:rsidRPr="00466D08">
        <w:rPr>
          <w:lang w:val="ro-RO"/>
        </w:rPr>
        <w:t>ilor de voluntariat și a celor iniţiate de ONG</w:t>
      </w:r>
      <w:r>
        <w:rPr>
          <w:lang w:val="ro-RO"/>
        </w:rPr>
        <w:t>T</w:t>
      </w:r>
      <w:r w:rsidRPr="00466D08">
        <w:rPr>
          <w:lang w:val="ro-RO"/>
        </w:rPr>
        <w:t>-uri care oferă oportunită</w:t>
      </w:r>
      <w:r>
        <w:rPr>
          <w:lang w:val="ro-RO"/>
        </w:rPr>
        <w:t>ţ</w:t>
      </w:r>
      <w:r w:rsidRPr="00466D08">
        <w:rPr>
          <w:lang w:val="ro-RO"/>
        </w:rPr>
        <w:t>i de educa</w:t>
      </w:r>
      <w:r>
        <w:rPr>
          <w:lang w:val="ro-RO"/>
        </w:rPr>
        <w:t>ţ</w:t>
      </w:r>
      <w:r w:rsidRPr="00466D08">
        <w:rPr>
          <w:lang w:val="ro-RO"/>
        </w:rPr>
        <w:t>ie non-formală</w:t>
      </w:r>
      <w:r>
        <w:rPr>
          <w:lang w:val="ro-RO"/>
        </w:rPr>
        <w:t>;</w:t>
      </w:r>
    </w:p>
    <w:p w:rsidR="00B50A36" w:rsidRDefault="00B50A36" w:rsidP="00B12674">
      <w:pPr>
        <w:pStyle w:val="ColorfulList-Accent11"/>
        <w:numPr>
          <w:ilvl w:val="0"/>
          <w:numId w:val="37"/>
        </w:numPr>
        <w:jc w:val="both"/>
        <w:rPr>
          <w:lang w:val="ro-RO"/>
        </w:rPr>
      </w:pPr>
      <w:r>
        <w:rPr>
          <w:lang w:val="ro-RO"/>
        </w:rPr>
        <w:t>Extinderea a</w:t>
      </w:r>
      <w:r w:rsidRPr="00466D08">
        <w:rPr>
          <w:lang w:val="ro-RO"/>
        </w:rPr>
        <w:t>cţiuni</w:t>
      </w:r>
      <w:r>
        <w:rPr>
          <w:lang w:val="ro-RO"/>
        </w:rPr>
        <w:t>lor</w:t>
      </w:r>
      <w:r w:rsidRPr="00466D08">
        <w:rPr>
          <w:lang w:val="ro-RO"/>
        </w:rPr>
        <w:t xml:space="preserve"> de instruire şi educaţie extra-curriculară realizate  în şcoli</w:t>
      </w:r>
      <w:r>
        <w:rPr>
          <w:lang w:val="ro-RO"/>
        </w:rPr>
        <w:t>;</w:t>
      </w:r>
    </w:p>
    <w:p w:rsidR="00B50A36" w:rsidRDefault="00B50A36" w:rsidP="00B12674">
      <w:pPr>
        <w:pStyle w:val="ColorfulList-Accent11"/>
        <w:numPr>
          <w:ilvl w:val="0"/>
          <w:numId w:val="37"/>
        </w:numPr>
        <w:jc w:val="both"/>
        <w:rPr>
          <w:lang w:val="ro-RO"/>
        </w:rPr>
      </w:pPr>
      <w:r w:rsidRPr="00122242">
        <w:rPr>
          <w:lang w:val="ro-RO"/>
        </w:rPr>
        <w:t>Creşterea atractivităţii ofertelor de educaţie non-formală  ale centrelor de tineret, ale Caselor de Cultură ale Studenţilor</w:t>
      </w:r>
      <w:r>
        <w:rPr>
          <w:lang w:val="ro-RO"/>
        </w:rPr>
        <w:t>,</w:t>
      </w:r>
      <w:r w:rsidRPr="00122242">
        <w:rPr>
          <w:lang w:val="ro-RO"/>
        </w:rPr>
        <w:t xml:space="preserve"> organizaţiilor neguvernamentale</w:t>
      </w:r>
      <w:r>
        <w:rPr>
          <w:lang w:val="ro-RO"/>
        </w:rPr>
        <w:t xml:space="preserve"> de şi pentru tineret</w:t>
      </w:r>
      <w:r w:rsidRPr="00122242">
        <w:rPr>
          <w:lang w:val="ro-RO"/>
        </w:rPr>
        <w:t>, şcolilor etc;</w:t>
      </w:r>
    </w:p>
    <w:p w:rsidR="00B50A36" w:rsidRDefault="00B50A36" w:rsidP="00B12674">
      <w:pPr>
        <w:pStyle w:val="ColorfulList-Accent11"/>
        <w:numPr>
          <w:ilvl w:val="0"/>
          <w:numId w:val="37"/>
        </w:numPr>
        <w:jc w:val="both"/>
        <w:rPr>
          <w:lang w:val="ro-RO"/>
        </w:rPr>
      </w:pPr>
      <w:r>
        <w:rPr>
          <w:lang w:val="ro-RO"/>
        </w:rPr>
        <w:t>Includerea în cadrul</w:t>
      </w:r>
      <w:r w:rsidRPr="00122242">
        <w:rPr>
          <w:lang w:val="ro-RO"/>
        </w:rPr>
        <w:t xml:space="preserve"> </w:t>
      </w:r>
      <w:r>
        <w:rPr>
          <w:lang w:val="ro-RO"/>
        </w:rPr>
        <w:t>C</w:t>
      </w:r>
      <w:r w:rsidRPr="00122242">
        <w:rPr>
          <w:lang w:val="ro-RO"/>
        </w:rPr>
        <w:t xml:space="preserve">entrelor de </w:t>
      </w:r>
      <w:r>
        <w:rPr>
          <w:lang w:val="ro-RO"/>
        </w:rPr>
        <w:t>T</w:t>
      </w:r>
      <w:r w:rsidRPr="00122242">
        <w:rPr>
          <w:lang w:val="ro-RO"/>
        </w:rPr>
        <w:t xml:space="preserve">ineret şi </w:t>
      </w:r>
      <w:r>
        <w:rPr>
          <w:lang w:val="ro-RO"/>
        </w:rPr>
        <w:t>în cadrul</w:t>
      </w:r>
      <w:r w:rsidRPr="00122242">
        <w:rPr>
          <w:lang w:val="ro-RO"/>
        </w:rPr>
        <w:t xml:space="preserve"> Caselor de Cultură ale Studenţilor </w:t>
      </w:r>
      <w:r>
        <w:rPr>
          <w:lang w:val="ro-RO"/>
        </w:rPr>
        <w:t>a unei funcţii de</w:t>
      </w:r>
      <w:r w:rsidRPr="00122242">
        <w:rPr>
          <w:lang w:val="ro-RO"/>
        </w:rPr>
        <w:t xml:space="preserve"> centr</w:t>
      </w:r>
      <w:r>
        <w:rPr>
          <w:lang w:val="ro-RO"/>
        </w:rPr>
        <w:t>u</w:t>
      </w:r>
      <w:r w:rsidRPr="00122242">
        <w:rPr>
          <w:lang w:val="ro-RO"/>
        </w:rPr>
        <w:t xml:space="preserve"> de resurse pentru tineri, oferind formare, consultanţă, dezvoltare de proiecte, consultanţă pentru managementul proiectelor iniţiate de tineri;</w:t>
      </w:r>
    </w:p>
    <w:p w:rsidR="00B50A36" w:rsidRDefault="00B50A36" w:rsidP="00B12674">
      <w:pPr>
        <w:pStyle w:val="ColorfulList-Accent11"/>
        <w:numPr>
          <w:ilvl w:val="0"/>
          <w:numId w:val="37"/>
        </w:numPr>
        <w:jc w:val="both"/>
        <w:rPr>
          <w:lang w:val="ro-RO"/>
        </w:rPr>
      </w:pPr>
      <w:r>
        <w:rPr>
          <w:lang w:val="ro-RO"/>
        </w:rPr>
        <w:t>Constituirea centrelor de tineret si a caselor de cultură ale studenţilor în reţele naţionale, cu subreţele regionale, mărind astfel potenţialul lor de a dezvolta strategii de acţiune pentru a răspunde mai bine nevoilor specifice ale tinerilor/studenţilor din regiunile respective, de a se integra în structuri internaţionale de profil şi de a obţine finanţare din fonduri europene pentru proiectele proprii, în completarea sprijinului de stat pentru întreţinere, dotare şi funcţionare;</w:t>
      </w:r>
    </w:p>
    <w:p w:rsidR="00B50A36" w:rsidRDefault="00B50A36" w:rsidP="00B12674">
      <w:pPr>
        <w:pStyle w:val="ColorfulList-Accent11"/>
        <w:numPr>
          <w:ilvl w:val="0"/>
          <w:numId w:val="37"/>
        </w:numPr>
        <w:jc w:val="both"/>
        <w:rPr>
          <w:lang w:val="ro-RO"/>
        </w:rPr>
      </w:pPr>
      <w:r>
        <w:rPr>
          <w:lang w:val="ro-RO"/>
        </w:rPr>
        <w:t>Susţinerea i</w:t>
      </w:r>
      <w:r w:rsidRPr="00466D08">
        <w:rPr>
          <w:lang w:val="ro-RO"/>
        </w:rPr>
        <w:t>mplic</w:t>
      </w:r>
      <w:r>
        <w:rPr>
          <w:lang w:val="ro-RO"/>
        </w:rPr>
        <w:t>ă</w:t>
      </w:r>
      <w:r w:rsidRPr="00466D08">
        <w:rPr>
          <w:lang w:val="ro-RO"/>
        </w:rPr>
        <w:t>r</w:t>
      </w:r>
      <w:r>
        <w:rPr>
          <w:lang w:val="ro-RO"/>
        </w:rPr>
        <w:t>ii</w:t>
      </w:r>
      <w:r w:rsidRPr="00466D08">
        <w:rPr>
          <w:lang w:val="ro-RO"/>
        </w:rPr>
        <w:t xml:space="preserve"> tinerilor în pregătirea şi implementarea de proiecte inovative</w:t>
      </w:r>
      <w:r>
        <w:rPr>
          <w:lang w:val="ro-RO"/>
        </w:rPr>
        <w:t>;</w:t>
      </w:r>
    </w:p>
    <w:p w:rsidR="00B50A36" w:rsidRDefault="00B50A36" w:rsidP="00B12674">
      <w:pPr>
        <w:pStyle w:val="ColorfulList-Accent11"/>
        <w:numPr>
          <w:ilvl w:val="0"/>
          <w:numId w:val="37"/>
        </w:numPr>
        <w:jc w:val="both"/>
        <w:rPr>
          <w:lang w:val="ro-RO"/>
        </w:rPr>
      </w:pPr>
      <w:r>
        <w:rPr>
          <w:lang w:val="ro-RO"/>
        </w:rPr>
        <w:t>Extinderea şi susţinerea o</w:t>
      </w:r>
      <w:r w:rsidRPr="00466D08">
        <w:rPr>
          <w:lang w:val="ro-RO"/>
        </w:rPr>
        <w:t>ferte</w:t>
      </w:r>
      <w:r>
        <w:rPr>
          <w:lang w:val="ro-RO"/>
        </w:rPr>
        <w:t>lor</w:t>
      </w:r>
      <w:r w:rsidRPr="00466D08">
        <w:rPr>
          <w:lang w:val="ro-RO"/>
        </w:rPr>
        <w:t xml:space="preserve"> de învăţare on-line, conferinţe şi seminarii pe teme solicitate de tineri</w:t>
      </w:r>
      <w:r>
        <w:rPr>
          <w:lang w:val="ro-RO"/>
        </w:rPr>
        <w:t>;</w:t>
      </w:r>
    </w:p>
    <w:p w:rsidR="00B50A36" w:rsidRDefault="00B50A36" w:rsidP="00B12674">
      <w:pPr>
        <w:pStyle w:val="ColorfulList-Accent11"/>
        <w:numPr>
          <w:ilvl w:val="0"/>
          <w:numId w:val="37"/>
        </w:numPr>
        <w:jc w:val="both"/>
        <w:rPr>
          <w:lang w:val="ro-RO"/>
        </w:rPr>
      </w:pPr>
      <w:r>
        <w:rPr>
          <w:lang w:val="ro-RO"/>
        </w:rPr>
        <w:lastRenderedPageBreak/>
        <w:t>Extinderea o</w:t>
      </w:r>
      <w:r w:rsidRPr="00466D08">
        <w:rPr>
          <w:lang w:val="ro-RO"/>
        </w:rPr>
        <w:t>portunităţi</w:t>
      </w:r>
      <w:r>
        <w:rPr>
          <w:lang w:val="ro-RO"/>
        </w:rPr>
        <w:t>lor</w:t>
      </w:r>
      <w:r w:rsidRPr="00466D08">
        <w:rPr>
          <w:lang w:val="ro-RO"/>
        </w:rPr>
        <w:t xml:space="preserve"> de învăţare a limbilor străine şi formare de competenţe transversale (digitale, de comunicare etc</w:t>
      </w:r>
      <w:r>
        <w:rPr>
          <w:lang w:val="ro-RO"/>
        </w:rPr>
        <w:t>);</w:t>
      </w:r>
    </w:p>
    <w:p w:rsidR="00B50A36" w:rsidRDefault="00B50A36" w:rsidP="00B12674">
      <w:pPr>
        <w:pStyle w:val="ColorfulList-Accent11"/>
        <w:numPr>
          <w:ilvl w:val="0"/>
          <w:numId w:val="37"/>
        </w:numPr>
        <w:jc w:val="both"/>
        <w:rPr>
          <w:lang w:val="ro-RO"/>
        </w:rPr>
      </w:pPr>
      <w:r w:rsidRPr="00F5185F">
        <w:rPr>
          <w:lang w:val="ro-RO"/>
        </w:rPr>
        <w:t xml:space="preserve">Asigurarea de contribuţii din fonduri guvernamentale, judeţene şi locale şi atragerea de fonduri comunitare pentru dezvoltarea unei </w:t>
      </w:r>
      <w:r w:rsidRPr="00F5185F">
        <w:rPr>
          <w:b/>
          <w:bCs/>
          <w:lang w:val="ro-RO"/>
        </w:rPr>
        <w:t>infrastructuri adecvate</w:t>
      </w:r>
      <w:r w:rsidRPr="00F5185F">
        <w:rPr>
          <w:lang w:val="ro-RO"/>
        </w:rPr>
        <w:t xml:space="preserve"> ofertei de educaţie şi de formare, inclusiv a celei de educaţie  non-formală specifică tinerilor: centre multifuncţionale de învăţare şi loisir, </w:t>
      </w:r>
      <w:r>
        <w:rPr>
          <w:lang w:val="ro-RO"/>
        </w:rPr>
        <w:t>case ale studenţilor</w:t>
      </w:r>
      <w:r w:rsidRPr="00F5185F">
        <w:rPr>
          <w:lang w:val="ro-RO"/>
        </w:rPr>
        <w:t xml:space="preserve">, campusuri de vacanţă cu facilităţi de instruire, centre culturale de tineret în mediul </w:t>
      </w:r>
      <w:r>
        <w:rPr>
          <w:lang w:val="ro-RO"/>
        </w:rPr>
        <w:t xml:space="preserve">rural, </w:t>
      </w:r>
      <w:r w:rsidRPr="00F5185F">
        <w:rPr>
          <w:lang w:val="ro-RO"/>
        </w:rPr>
        <w:t>cluburi locale</w:t>
      </w:r>
      <w:r>
        <w:rPr>
          <w:lang w:val="ro-RO"/>
        </w:rPr>
        <w:t>, dotare cu</w:t>
      </w:r>
      <w:r w:rsidRPr="00F5185F">
        <w:rPr>
          <w:lang w:val="ro-RO"/>
        </w:rPr>
        <w:t xml:space="preserve"> aparatură specific</w:t>
      </w:r>
      <w:r>
        <w:rPr>
          <w:lang w:val="ro-RO"/>
        </w:rPr>
        <w:t>ă pentru activităţi de instruire;</w:t>
      </w:r>
    </w:p>
    <w:p w:rsidR="00B50A36" w:rsidRDefault="00B50A36" w:rsidP="00B12674">
      <w:pPr>
        <w:pStyle w:val="ColorfulList-Accent11"/>
        <w:numPr>
          <w:ilvl w:val="0"/>
          <w:numId w:val="37"/>
        </w:numPr>
        <w:jc w:val="both"/>
        <w:rPr>
          <w:lang w:val="ro-RO"/>
        </w:rPr>
      </w:pPr>
      <w:r w:rsidRPr="00466D08">
        <w:rPr>
          <w:lang w:val="ro-RO"/>
        </w:rPr>
        <w:t>Mobilizarea  şi orientarea organizaţiilor guvernamentale şi n</w:t>
      </w:r>
      <w:r>
        <w:rPr>
          <w:lang w:val="ro-RO"/>
        </w:rPr>
        <w:t>e</w:t>
      </w:r>
      <w:r w:rsidRPr="00466D08">
        <w:rPr>
          <w:lang w:val="ro-RO"/>
        </w:rPr>
        <w:t xml:space="preserve">guvernamentale, a comunităţilor  locale in vederea stabilirii de parteneriate şi a unor cooperări viabile pentru dezvoltarea sistemului </w:t>
      </w:r>
      <w:r>
        <w:rPr>
          <w:lang w:val="ro-RO"/>
        </w:rPr>
        <w:t xml:space="preserve">furnizorilor </w:t>
      </w:r>
      <w:r w:rsidRPr="00466D08">
        <w:rPr>
          <w:lang w:val="ro-RO"/>
        </w:rPr>
        <w:t>de educaţie non-formală şi a serviciilor complexe/integrate axate pe necesităţile tinerilor</w:t>
      </w:r>
      <w:r>
        <w:rPr>
          <w:lang w:val="ro-RO"/>
        </w:rPr>
        <w:t>.</w:t>
      </w:r>
    </w:p>
    <w:p w:rsidR="00B50A36" w:rsidRDefault="00B50A36" w:rsidP="00B12674">
      <w:pPr>
        <w:pStyle w:val="ColorfulList-Accent11"/>
        <w:ind w:left="360"/>
        <w:jc w:val="both"/>
        <w:rPr>
          <w:lang w:val="ro-RO"/>
        </w:rPr>
      </w:pPr>
    </w:p>
    <w:p w:rsidR="00B50A36" w:rsidRPr="00527682" w:rsidRDefault="00B50A36" w:rsidP="00B12674">
      <w:pPr>
        <w:pStyle w:val="Heading4"/>
        <w:numPr>
          <w:ilvl w:val="1"/>
          <w:numId w:val="25"/>
        </w:numPr>
        <w:jc w:val="both"/>
        <w:rPr>
          <w:rFonts w:cs="Times New Roman"/>
          <w:lang w:val="ro-RO"/>
        </w:rPr>
      </w:pPr>
      <w:r>
        <w:rPr>
          <w:lang w:val="ro-RO"/>
        </w:rPr>
        <w:t xml:space="preserve"> </w:t>
      </w:r>
      <w:r w:rsidRPr="00527682">
        <w:rPr>
          <w:lang w:val="ro-RO"/>
        </w:rPr>
        <w:t>Stimularea interesului tinerilor de a participa la educa</w:t>
      </w:r>
      <w:r>
        <w:rPr>
          <w:rFonts w:ascii="Arial" w:hAnsi="Arial" w:cs="Arial"/>
          <w:lang w:val="ro-RO"/>
        </w:rPr>
        <w:t>ţ</w:t>
      </w:r>
      <w:r w:rsidRPr="00527682">
        <w:rPr>
          <w:lang w:val="ro-RO"/>
        </w:rPr>
        <w:t xml:space="preserve">ia non-formală </w:t>
      </w:r>
    </w:p>
    <w:p w:rsidR="00C76ED0" w:rsidRDefault="00C76ED0" w:rsidP="00B12674">
      <w:pPr>
        <w:pStyle w:val="Heading5"/>
        <w:jc w:val="both"/>
        <w:rPr>
          <w:lang w:val="ro-RO"/>
        </w:rPr>
      </w:pPr>
    </w:p>
    <w:p w:rsidR="00B50A36" w:rsidRDefault="00B50A36" w:rsidP="00B12674">
      <w:pPr>
        <w:pStyle w:val="Heading5"/>
        <w:jc w:val="both"/>
        <w:rPr>
          <w:rFonts w:cs="Times New Roman"/>
          <w:lang w:val="ro-RO"/>
        </w:rPr>
      </w:pPr>
      <w:r w:rsidRPr="00527682">
        <w:rPr>
          <w:lang w:val="ro-RO"/>
        </w:rPr>
        <w:t>Direc</w:t>
      </w:r>
      <w:r>
        <w:rPr>
          <w:rFonts w:ascii="Cambria Math" w:hAnsi="Cambria Math" w:cs="Cambria Math"/>
          <w:lang w:val="ro-RO"/>
        </w:rPr>
        <w:t>ţ</w:t>
      </w:r>
      <w:r w:rsidRPr="00527682">
        <w:rPr>
          <w:lang w:val="ro-RO"/>
        </w:rPr>
        <w:t>ii de ac</w:t>
      </w:r>
      <w:r>
        <w:rPr>
          <w:rFonts w:ascii="Cambria Math" w:hAnsi="Cambria Math" w:cs="Cambria Math"/>
          <w:lang w:val="ro-RO"/>
        </w:rPr>
        <w:t>ţ</w:t>
      </w:r>
      <w:r w:rsidRPr="00527682">
        <w:rPr>
          <w:lang w:val="ro-RO"/>
        </w:rPr>
        <w:t>iune</w:t>
      </w:r>
    </w:p>
    <w:p w:rsidR="00B50A36" w:rsidRPr="008B1AD9" w:rsidRDefault="00B50A36" w:rsidP="00B12674">
      <w:pPr>
        <w:pStyle w:val="ColorfulList-Accent11"/>
        <w:numPr>
          <w:ilvl w:val="1"/>
          <w:numId w:val="21"/>
        </w:numPr>
        <w:ind w:left="360"/>
        <w:jc w:val="both"/>
        <w:rPr>
          <w:lang w:val="ro-RO"/>
        </w:rPr>
      </w:pPr>
      <w:r w:rsidRPr="008B1AD9">
        <w:rPr>
          <w:lang w:val="ro-RO"/>
        </w:rPr>
        <w:t>Încurajarea organizaţiilor care dezvoltă proiecte de educaţie non-formală adresate tinerilor;</w:t>
      </w:r>
    </w:p>
    <w:p w:rsidR="00B50A36" w:rsidRPr="008B1AD9" w:rsidRDefault="00B50A36" w:rsidP="00B12674">
      <w:pPr>
        <w:pStyle w:val="ColorfulList-Accent11"/>
        <w:numPr>
          <w:ilvl w:val="1"/>
          <w:numId w:val="21"/>
        </w:numPr>
        <w:ind w:left="360"/>
        <w:jc w:val="both"/>
        <w:rPr>
          <w:lang w:val="ro-RO"/>
        </w:rPr>
      </w:pPr>
      <w:r w:rsidRPr="008B1AD9">
        <w:rPr>
          <w:lang w:val="ro-RO"/>
        </w:rPr>
        <w:t>Promovarea  în rândul tinerilor și al ONGT</w:t>
      </w:r>
      <w:r w:rsidRPr="00E317CB">
        <w:rPr>
          <w:lang w:val="ro-RO"/>
        </w:rPr>
        <w:t xml:space="preserve"> a oportunităţilor de educaţie non-formală oferite de acţiunile Programului european  Tineret în acţiune (Erasmus+);</w:t>
      </w:r>
    </w:p>
    <w:p w:rsidR="00B50A36" w:rsidRPr="008B1AD9" w:rsidRDefault="00B50A36" w:rsidP="00B12674">
      <w:pPr>
        <w:pStyle w:val="ColorfulList-Accent11"/>
        <w:numPr>
          <w:ilvl w:val="1"/>
          <w:numId w:val="21"/>
        </w:numPr>
        <w:ind w:left="360"/>
        <w:jc w:val="both"/>
        <w:rPr>
          <w:lang w:val="ro-RO"/>
        </w:rPr>
      </w:pPr>
      <w:r w:rsidRPr="00E317CB">
        <w:rPr>
          <w:lang w:val="ro-RO"/>
        </w:rPr>
        <w:t>Îmbunătăţirea reglementării prin lege şi a stimulării privind organizarea de stagii practice, internship-uri la  agenţii economici în vederea anagajării ulterioare a tinerilor practicanţi;</w:t>
      </w:r>
    </w:p>
    <w:p w:rsidR="00B50A36" w:rsidRPr="008B1AD9" w:rsidRDefault="00B50A36" w:rsidP="00B12674">
      <w:pPr>
        <w:pStyle w:val="ColorfulList-Accent11"/>
        <w:numPr>
          <w:ilvl w:val="1"/>
          <w:numId w:val="21"/>
        </w:numPr>
        <w:ind w:left="360"/>
        <w:jc w:val="both"/>
        <w:rPr>
          <w:lang w:val="ro-RO"/>
        </w:rPr>
      </w:pPr>
      <w:r w:rsidRPr="00E317CB">
        <w:rPr>
          <w:lang w:val="ro-RO"/>
        </w:rPr>
        <w:t>Dezvoltarea graduală, în perioada 2014-2018 a unui sistem de validare şi recunoaştere a competenţelor  obţinute prin intermediul educaţiei non-formale şi învăţării informale, asigurând recunoaşterea serviciilor de educaţie non-formală la nivel naţional şi calitatea acestora, în conformitate cu bunele practici şi experienţele europene avansate.</w:t>
      </w:r>
    </w:p>
    <w:p w:rsidR="00B50A36" w:rsidRPr="00466D08" w:rsidRDefault="00B50A36" w:rsidP="00B12674">
      <w:pPr>
        <w:pStyle w:val="ColorfulList-Accent11"/>
        <w:ind w:left="360"/>
        <w:jc w:val="both"/>
        <w:rPr>
          <w:lang w:val="ro-RO"/>
        </w:rPr>
      </w:pPr>
    </w:p>
    <w:p w:rsidR="00B50A36" w:rsidRPr="00422449" w:rsidRDefault="00B50A36" w:rsidP="00B12674">
      <w:pPr>
        <w:pStyle w:val="Heading4"/>
        <w:numPr>
          <w:ilvl w:val="1"/>
          <w:numId w:val="25"/>
        </w:numPr>
        <w:jc w:val="both"/>
        <w:rPr>
          <w:rFonts w:cs="Times New Roman"/>
          <w:lang w:val="ro-RO"/>
        </w:rPr>
      </w:pPr>
      <w:r w:rsidRPr="00422449">
        <w:rPr>
          <w:lang w:val="ro-RO"/>
        </w:rPr>
        <w:t>Facilitarea accesului tinerilor la consum de cultură  şi creaţie culturală de calitate</w:t>
      </w:r>
    </w:p>
    <w:p w:rsidR="00C76ED0" w:rsidRDefault="00C76ED0" w:rsidP="00B12674">
      <w:pPr>
        <w:pStyle w:val="Heading5"/>
        <w:jc w:val="both"/>
        <w:rPr>
          <w:lang w:val="ro-RO"/>
        </w:rPr>
      </w:pPr>
    </w:p>
    <w:p w:rsidR="00B50A36" w:rsidRDefault="00B50A36" w:rsidP="00B12674">
      <w:pPr>
        <w:pStyle w:val="Heading5"/>
        <w:jc w:val="both"/>
        <w:rPr>
          <w:rFonts w:cs="Times New Roman"/>
          <w:lang w:val="ro-RO"/>
        </w:rPr>
      </w:pPr>
      <w:r w:rsidRPr="00422449">
        <w:rPr>
          <w:lang w:val="ro-RO"/>
        </w:rPr>
        <w:t>Direcţii de acţiune:</w:t>
      </w:r>
    </w:p>
    <w:p w:rsidR="00B50A36" w:rsidRDefault="00B50A36" w:rsidP="00B12674">
      <w:pPr>
        <w:pStyle w:val="ColorfulList-Accent11"/>
        <w:numPr>
          <w:ilvl w:val="0"/>
          <w:numId w:val="24"/>
        </w:numPr>
        <w:ind w:left="360"/>
        <w:jc w:val="both"/>
        <w:rPr>
          <w:lang w:val="ro-RO"/>
        </w:rPr>
      </w:pPr>
      <w:r w:rsidRPr="008B1AD9">
        <w:rPr>
          <w:lang w:val="ro-RO"/>
        </w:rPr>
        <w:t xml:space="preserve">Stimularea interesului tinerilor pentru valorificarea tradiţiilor culturale locale (româneşti sau ale minorităţilor etnice), inclusiv prin formarea în meserii tradiţionale (artistice, </w:t>
      </w:r>
      <w:r w:rsidRPr="00E317CB">
        <w:rPr>
          <w:lang w:val="ro-RO"/>
        </w:rPr>
        <w:t>artizanale);</w:t>
      </w:r>
    </w:p>
    <w:p w:rsidR="00B50A36" w:rsidRDefault="00B50A36" w:rsidP="00B12674">
      <w:pPr>
        <w:pStyle w:val="ColorfulList-Accent11"/>
        <w:numPr>
          <w:ilvl w:val="1"/>
          <w:numId w:val="19"/>
        </w:numPr>
        <w:ind w:left="360"/>
        <w:jc w:val="both"/>
        <w:rPr>
          <w:lang w:val="ro-RO"/>
        </w:rPr>
      </w:pPr>
      <w:r w:rsidRPr="00E317CB">
        <w:rPr>
          <w:lang w:val="ro-RO"/>
        </w:rPr>
        <w:t>Stimularea preocupărilor pentru lectură şi pentru  creaţia literară la tineri;</w:t>
      </w:r>
    </w:p>
    <w:p w:rsidR="00B50A36" w:rsidRDefault="00B50A36" w:rsidP="00B12674">
      <w:pPr>
        <w:pStyle w:val="ColorfulList-Accent11"/>
        <w:numPr>
          <w:ilvl w:val="1"/>
          <w:numId w:val="19"/>
        </w:numPr>
        <w:ind w:left="360"/>
        <w:jc w:val="both"/>
        <w:rPr>
          <w:lang w:val="ro-RO"/>
        </w:rPr>
      </w:pPr>
      <w:r w:rsidRPr="00E317CB">
        <w:rPr>
          <w:lang w:val="ro-RO"/>
        </w:rPr>
        <w:lastRenderedPageBreak/>
        <w:t>Sprijinirea şi stimularea creativităţii şi performanţei tinerilor în diverse domenii ale industriilor creative (publicitate, arte vizuale, artele spectacolului, cercetare-dezvoltare, software etc.);</w:t>
      </w:r>
    </w:p>
    <w:p w:rsidR="00B50A36" w:rsidRDefault="00B50A36" w:rsidP="00B12674">
      <w:pPr>
        <w:pStyle w:val="ColorfulList-Accent11"/>
        <w:numPr>
          <w:ilvl w:val="1"/>
          <w:numId w:val="19"/>
        </w:numPr>
        <w:ind w:left="360"/>
        <w:jc w:val="both"/>
        <w:rPr>
          <w:lang w:val="ro-RO"/>
        </w:rPr>
      </w:pPr>
      <w:r w:rsidRPr="00E317CB">
        <w:rPr>
          <w:lang w:val="ro-RO"/>
        </w:rPr>
        <w:t>Promovarea, susţinerea şi recompensarea performanţei tinerelor talente artistice şi din domeniul inovaţiei tehnico-ştiinţifice. Încurajarea educaţiei interculturale, atât prin participare la stagii  de formare şi învăţare în alte ţări, prin intermediul schimburilor de tineri, cât şi prin asigurare de  oportunităţi de cunoaştere a culturii minorităţilor etnice din propria ţară;</w:t>
      </w:r>
    </w:p>
    <w:p w:rsidR="00B50A36" w:rsidRDefault="00B50A36" w:rsidP="00B12674">
      <w:pPr>
        <w:pStyle w:val="ColorfulList-Accent11"/>
        <w:numPr>
          <w:ilvl w:val="1"/>
          <w:numId w:val="19"/>
        </w:numPr>
        <w:ind w:left="360"/>
        <w:jc w:val="both"/>
        <w:rPr>
          <w:lang w:val="ro-RO"/>
        </w:rPr>
      </w:pPr>
      <w:r w:rsidRPr="00E317CB">
        <w:rPr>
          <w:lang w:val="ro-RO"/>
        </w:rPr>
        <w:t>Asigurarea protecţiei copiilor şi tinerilor în faţa anumitor riscuri ce apar ca urmare a folosirii noilor mijloace de comunicare în masă, în particular prin dezvoltarea de competenţe  în domeniu, recunoscând totodată beneficiile şi oportunităţile pe care acestea le pot oferi tinerilor;</w:t>
      </w:r>
    </w:p>
    <w:p w:rsidR="00B50A36" w:rsidRDefault="00B50A36" w:rsidP="00B12674">
      <w:pPr>
        <w:pStyle w:val="ColorfulList-Accent11"/>
        <w:numPr>
          <w:ilvl w:val="1"/>
          <w:numId w:val="19"/>
        </w:numPr>
        <w:ind w:left="360"/>
        <w:jc w:val="both"/>
        <w:rPr>
          <w:lang w:val="ro-RO"/>
        </w:rPr>
      </w:pPr>
      <w:r w:rsidRPr="00E317CB">
        <w:rPr>
          <w:lang w:val="ro-RO"/>
        </w:rPr>
        <w:t xml:space="preserve">Facilitarea accesului la cultură de calitate a tinerilor din mediul rural prin măsuri speciale de </w:t>
      </w:r>
      <w:r>
        <w:rPr>
          <w:lang w:val="ro-RO"/>
        </w:rPr>
        <w:t>participare culturală locală</w:t>
      </w:r>
      <w:r w:rsidRPr="00E317CB">
        <w:rPr>
          <w:lang w:val="ro-RO"/>
        </w:rPr>
        <w:t>;</w:t>
      </w:r>
    </w:p>
    <w:p w:rsidR="00B50A36" w:rsidRDefault="00B50A36" w:rsidP="00B12674">
      <w:pPr>
        <w:pStyle w:val="ColorfulList-Accent11"/>
        <w:numPr>
          <w:ilvl w:val="1"/>
          <w:numId w:val="19"/>
        </w:numPr>
        <w:ind w:left="360"/>
        <w:jc w:val="both"/>
        <w:rPr>
          <w:lang w:val="ro-RO"/>
        </w:rPr>
      </w:pPr>
      <w:r w:rsidRPr="00E317CB">
        <w:rPr>
          <w:lang w:val="ro-RO"/>
        </w:rPr>
        <w:t xml:space="preserve">Acordarea de sprijin pentru forme de manifestare culturală dedicate tinerilor, care să reflecte preocupările </w:t>
      </w:r>
      <w:r w:rsidRPr="002D376E">
        <w:rPr>
          <w:lang w:val="ro-RO"/>
        </w:rPr>
        <w:t>ș</w:t>
      </w:r>
      <w:r w:rsidRPr="00E317CB">
        <w:rPr>
          <w:lang w:val="ro-RO"/>
        </w:rPr>
        <w:t>i interesele acestora;</w:t>
      </w:r>
    </w:p>
    <w:p w:rsidR="00B50A36" w:rsidRDefault="00B50A36" w:rsidP="00B12674">
      <w:pPr>
        <w:pStyle w:val="ColorfulList-Accent11"/>
        <w:numPr>
          <w:ilvl w:val="1"/>
          <w:numId w:val="19"/>
        </w:numPr>
        <w:ind w:left="360"/>
        <w:jc w:val="both"/>
        <w:rPr>
          <w:lang w:val="ro-RO"/>
        </w:rPr>
      </w:pPr>
      <w:r w:rsidRPr="00E317CB">
        <w:rPr>
          <w:lang w:val="ro-RO"/>
        </w:rPr>
        <w:t xml:space="preserve">Finanţarea de proiecte pentru valorificarea potenţialului turistic </w:t>
      </w:r>
      <w:r w:rsidRPr="002D376E">
        <w:rPr>
          <w:lang w:val="ro-RO"/>
        </w:rPr>
        <w:t>ș</w:t>
      </w:r>
      <w:r w:rsidRPr="00E317CB">
        <w:rPr>
          <w:lang w:val="ro-RO"/>
        </w:rPr>
        <w:t>i cultural al ţării, implementate de ONGT</w:t>
      </w:r>
      <w:r w:rsidRPr="008B1AD9">
        <w:rPr>
          <w:lang w:val="ro-RO"/>
        </w:rPr>
        <w:t>;</w:t>
      </w:r>
    </w:p>
    <w:p w:rsidR="00B50A36" w:rsidRDefault="00B50A36" w:rsidP="00B12674">
      <w:pPr>
        <w:pStyle w:val="ColorfulList-Accent11"/>
        <w:numPr>
          <w:ilvl w:val="1"/>
          <w:numId w:val="19"/>
        </w:numPr>
        <w:ind w:left="450" w:hanging="441"/>
        <w:jc w:val="both"/>
        <w:rPr>
          <w:lang w:val="ro-RO"/>
        </w:rPr>
      </w:pPr>
      <w:r w:rsidRPr="008B1AD9">
        <w:rPr>
          <w:lang w:val="ro-RO"/>
        </w:rPr>
        <w:t>Asigurarea unei promovări mai bune în mass media și prin internet (media sociale) a oportunităţ</w:t>
      </w:r>
      <w:r w:rsidRPr="00E317CB">
        <w:rPr>
          <w:lang w:val="ro-RO"/>
        </w:rPr>
        <w:t xml:space="preserve">ilor de formare </w:t>
      </w:r>
      <w:r w:rsidRPr="002D376E">
        <w:rPr>
          <w:lang w:val="ro-RO"/>
        </w:rPr>
        <w:t>ș</w:t>
      </w:r>
      <w:r w:rsidRPr="00E317CB">
        <w:rPr>
          <w:lang w:val="ro-RO"/>
        </w:rPr>
        <w:t>i de educaţie non-formală.</w:t>
      </w:r>
    </w:p>
    <w:p w:rsidR="00B50A36" w:rsidRDefault="00B50A36" w:rsidP="00B12674">
      <w:pPr>
        <w:pStyle w:val="ColorfulList-Accent11"/>
        <w:ind w:left="0"/>
        <w:jc w:val="both"/>
        <w:rPr>
          <w:lang w:val="ro-RO"/>
        </w:rPr>
      </w:pPr>
    </w:p>
    <w:p w:rsidR="00B50A36" w:rsidRDefault="00B50A36" w:rsidP="00B12674">
      <w:pPr>
        <w:pStyle w:val="Heading4"/>
        <w:numPr>
          <w:ilvl w:val="1"/>
          <w:numId w:val="25"/>
        </w:numPr>
        <w:jc w:val="both"/>
        <w:rPr>
          <w:lang w:val="ro-RO"/>
        </w:rPr>
      </w:pPr>
      <w:r>
        <w:rPr>
          <w:lang w:val="ro-RO"/>
        </w:rPr>
        <w:t>Îmbunătăţirea finanţării activităţilor culturale</w:t>
      </w:r>
    </w:p>
    <w:p w:rsidR="00C76ED0" w:rsidRDefault="00C76ED0" w:rsidP="00B12674">
      <w:pPr>
        <w:pStyle w:val="Heading5"/>
        <w:jc w:val="both"/>
        <w:rPr>
          <w:lang w:val="ro-RO"/>
        </w:rPr>
      </w:pPr>
    </w:p>
    <w:p w:rsidR="00B50A36" w:rsidRDefault="00B50A36" w:rsidP="00B12674">
      <w:pPr>
        <w:pStyle w:val="Heading5"/>
        <w:jc w:val="both"/>
        <w:rPr>
          <w:rFonts w:cs="Times New Roman"/>
          <w:lang w:val="ro-RO"/>
        </w:rPr>
      </w:pPr>
      <w:r w:rsidRPr="00527682">
        <w:rPr>
          <w:lang w:val="ro-RO"/>
        </w:rPr>
        <w:t>Direc</w:t>
      </w:r>
      <w:r>
        <w:rPr>
          <w:rFonts w:ascii="Cambria Math" w:hAnsi="Cambria Math" w:cs="Cambria Math"/>
          <w:lang w:val="ro-RO"/>
        </w:rPr>
        <w:t>ţ</w:t>
      </w:r>
      <w:r w:rsidRPr="00527682">
        <w:rPr>
          <w:lang w:val="ro-RO"/>
        </w:rPr>
        <w:t>ii de ac</w:t>
      </w:r>
      <w:r>
        <w:rPr>
          <w:rFonts w:ascii="Cambria Math" w:hAnsi="Cambria Math" w:cs="Cambria Math"/>
          <w:lang w:val="ro-RO"/>
        </w:rPr>
        <w:t>ţ</w:t>
      </w:r>
      <w:r w:rsidRPr="00527682">
        <w:rPr>
          <w:lang w:val="ro-RO"/>
        </w:rPr>
        <w:t>iune</w:t>
      </w:r>
    </w:p>
    <w:p w:rsidR="00B50A36" w:rsidRDefault="00B50A36" w:rsidP="00B12674">
      <w:pPr>
        <w:pStyle w:val="ColorfulList-Accent11"/>
        <w:numPr>
          <w:ilvl w:val="0"/>
          <w:numId w:val="38"/>
        </w:numPr>
        <w:ind w:left="360"/>
        <w:jc w:val="both"/>
        <w:rPr>
          <w:lang w:val="ro-RO"/>
        </w:rPr>
      </w:pPr>
      <w:r w:rsidRPr="00897D06">
        <w:rPr>
          <w:lang w:val="ro-RO"/>
        </w:rPr>
        <w:t xml:space="preserve">Încurajarea sectorului privat pentru </w:t>
      </w:r>
      <w:r>
        <w:rPr>
          <w:lang w:val="ro-RO"/>
        </w:rPr>
        <w:t xml:space="preserve">a contribui la </w:t>
      </w:r>
      <w:r w:rsidRPr="00897D06">
        <w:rPr>
          <w:lang w:val="ro-RO"/>
        </w:rPr>
        <w:t>finanţarea evenimentelor culturale</w:t>
      </w:r>
      <w:r>
        <w:rPr>
          <w:lang w:val="ro-RO"/>
        </w:rPr>
        <w:t>;</w:t>
      </w:r>
    </w:p>
    <w:p w:rsidR="00B50A36" w:rsidRDefault="00B50A36" w:rsidP="00B12674">
      <w:pPr>
        <w:pStyle w:val="ColorfulList-Accent11"/>
        <w:numPr>
          <w:ilvl w:val="0"/>
          <w:numId w:val="38"/>
        </w:numPr>
        <w:ind w:left="360"/>
        <w:jc w:val="both"/>
        <w:rPr>
          <w:lang w:val="ro-RO"/>
        </w:rPr>
      </w:pPr>
      <w:r w:rsidRPr="00897D06">
        <w:rPr>
          <w:lang w:val="ro-RO"/>
        </w:rPr>
        <w:t xml:space="preserve">Lansarea de </w:t>
      </w:r>
      <w:r>
        <w:rPr>
          <w:lang w:val="ro-RO"/>
        </w:rPr>
        <w:t>programe</w:t>
      </w:r>
      <w:r w:rsidRPr="00897D06">
        <w:rPr>
          <w:lang w:val="ro-RO"/>
        </w:rPr>
        <w:t xml:space="preserve"> naţionale care să urmărească descoperirea şi </w:t>
      </w:r>
      <w:r>
        <w:rPr>
          <w:lang w:val="ro-RO"/>
        </w:rPr>
        <w:t>promovarea</w:t>
      </w:r>
      <w:r w:rsidRPr="00897D06">
        <w:rPr>
          <w:lang w:val="ro-RO"/>
        </w:rPr>
        <w:t xml:space="preserve"> </w:t>
      </w:r>
      <w:r>
        <w:rPr>
          <w:lang w:val="ro-RO"/>
        </w:rPr>
        <w:t>unor</w:t>
      </w:r>
      <w:r w:rsidRPr="00897D06">
        <w:rPr>
          <w:lang w:val="ro-RO"/>
        </w:rPr>
        <w:t xml:space="preserve"> tineri cu potenţial </w:t>
      </w:r>
      <w:r>
        <w:rPr>
          <w:lang w:val="ro-RO"/>
        </w:rPr>
        <w:t xml:space="preserve">creativ </w:t>
      </w:r>
      <w:r w:rsidRPr="00897D06">
        <w:rPr>
          <w:lang w:val="ro-RO"/>
        </w:rPr>
        <w:t>ridicat în domeniul cultural – artistic şi acordarea de burse pentru tinerii artişti valoroşi</w:t>
      </w:r>
      <w:r>
        <w:rPr>
          <w:lang w:val="ro-RO"/>
        </w:rPr>
        <w:t>;</w:t>
      </w:r>
      <w:r w:rsidRPr="00897D06">
        <w:rPr>
          <w:lang w:val="ro-RO"/>
        </w:rPr>
        <w:t xml:space="preserve"> </w:t>
      </w:r>
    </w:p>
    <w:p w:rsidR="00B50A36" w:rsidRDefault="00B50A36" w:rsidP="00B12674">
      <w:pPr>
        <w:pStyle w:val="ColorfulList-Accent11"/>
        <w:numPr>
          <w:ilvl w:val="0"/>
          <w:numId w:val="38"/>
        </w:numPr>
        <w:ind w:left="360"/>
        <w:jc w:val="both"/>
        <w:rPr>
          <w:lang w:val="ro-RO"/>
        </w:rPr>
      </w:pPr>
      <w:r w:rsidRPr="0010277F">
        <w:rPr>
          <w:lang w:val="ro-RO"/>
        </w:rPr>
        <w:t xml:space="preserve">Asigurarea de condiţii </w:t>
      </w:r>
      <w:r>
        <w:rPr>
          <w:lang w:val="ro-RO"/>
        </w:rPr>
        <w:t xml:space="preserve">financiare avantajoase </w:t>
      </w:r>
      <w:r w:rsidRPr="0010277F">
        <w:rPr>
          <w:lang w:val="ro-RO"/>
        </w:rPr>
        <w:t>de participare a tinerilor talentaţi din medii defavorizate la activităţile instituţiilor de formare artistică</w:t>
      </w:r>
      <w:r>
        <w:rPr>
          <w:lang w:val="ro-RO"/>
        </w:rPr>
        <w:t xml:space="preserve"> profesioniste;</w:t>
      </w:r>
    </w:p>
    <w:p w:rsidR="00B50A36" w:rsidRDefault="00B50A36" w:rsidP="00B12674">
      <w:pPr>
        <w:pStyle w:val="ColorfulList-Accent11"/>
        <w:numPr>
          <w:ilvl w:val="0"/>
          <w:numId w:val="38"/>
        </w:numPr>
        <w:ind w:left="360"/>
        <w:jc w:val="both"/>
        <w:rPr>
          <w:lang w:val="ro-RO"/>
        </w:rPr>
      </w:pPr>
      <w:r>
        <w:rPr>
          <w:lang w:val="ro-RO"/>
        </w:rPr>
        <w:t>Susţinerea financiară a structurilor de promovare a activităţilor cultural-artistice pentru tineret (centre de tineret, case de cultură ale studenţilor, cluburi/cercuri ale organizaţiilor neguvernamentale de şi pentru tineret) în vederea asigurării unor condiţii cât mai bune şi a unei atractivităţi sporite pentru participarea tinerilor la aceste activităţi.</w:t>
      </w:r>
    </w:p>
    <w:p w:rsidR="00B50A36" w:rsidRPr="0010277F" w:rsidRDefault="00B50A36" w:rsidP="00B12674">
      <w:pPr>
        <w:pStyle w:val="ColorfulList-Accent11"/>
        <w:ind w:left="360"/>
        <w:jc w:val="both"/>
        <w:rPr>
          <w:lang w:val="ro-RO"/>
        </w:rPr>
      </w:pPr>
    </w:p>
    <w:p w:rsidR="00B50A36" w:rsidRPr="00866F2F" w:rsidRDefault="00B50A36" w:rsidP="00B12674">
      <w:pPr>
        <w:pStyle w:val="Heading2"/>
        <w:numPr>
          <w:ilvl w:val="0"/>
          <w:numId w:val="25"/>
        </w:numPr>
        <w:jc w:val="both"/>
        <w:rPr>
          <w:rFonts w:cs="Times New Roman"/>
          <w:lang w:val="ro-RO"/>
        </w:rPr>
      </w:pPr>
      <w:bookmarkStart w:id="83" w:name="_Toc370211876"/>
      <w:r w:rsidRPr="00757671">
        <w:rPr>
          <w:lang w:val="ro-RO"/>
        </w:rPr>
        <w:lastRenderedPageBreak/>
        <w:t>Sănătate, Sport şi Recreere</w:t>
      </w:r>
      <w:bookmarkEnd w:id="83"/>
    </w:p>
    <w:p w:rsidR="00B50A36" w:rsidRPr="00466D08" w:rsidRDefault="00B50A36" w:rsidP="00B12674">
      <w:pPr>
        <w:spacing w:after="0" w:line="240" w:lineRule="auto"/>
        <w:jc w:val="both"/>
        <w:textAlignment w:val="baseline"/>
        <w:rPr>
          <w:lang w:val="ro-RO"/>
        </w:rPr>
      </w:pPr>
    </w:p>
    <w:p w:rsidR="00B50A36" w:rsidRPr="0001441A" w:rsidRDefault="00B50A36" w:rsidP="00B12674">
      <w:pPr>
        <w:pStyle w:val="Heading3"/>
        <w:jc w:val="both"/>
        <w:rPr>
          <w:rFonts w:cs="Times New Roman"/>
          <w:lang w:val="ro-RO"/>
        </w:rPr>
      </w:pPr>
      <w:bookmarkStart w:id="84" w:name="_Toc370211877"/>
      <w:r w:rsidRPr="0001441A">
        <w:rPr>
          <w:lang w:val="ro-RO"/>
        </w:rPr>
        <w:t>Obiective specifice şi direcţii de acţiune</w:t>
      </w:r>
      <w:bookmarkEnd w:id="84"/>
      <w:r>
        <w:rPr>
          <w:lang w:val="ro-RO"/>
        </w:rPr>
        <w:t xml:space="preserve"> </w:t>
      </w:r>
    </w:p>
    <w:p w:rsidR="00B50A36" w:rsidRPr="0001441A" w:rsidRDefault="00B50A36" w:rsidP="00B12674">
      <w:pPr>
        <w:spacing w:after="0" w:line="240" w:lineRule="auto"/>
        <w:jc w:val="both"/>
        <w:textAlignment w:val="baseline"/>
        <w:rPr>
          <w:sz w:val="24"/>
          <w:szCs w:val="24"/>
          <w:lang w:val="ro-RO"/>
        </w:rPr>
      </w:pPr>
    </w:p>
    <w:p w:rsidR="00B50A36" w:rsidRPr="0001441A" w:rsidRDefault="00B50A36" w:rsidP="00B12674">
      <w:pPr>
        <w:pStyle w:val="Heading4"/>
        <w:numPr>
          <w:ilvl w:val="1"/>
          <w:numId w:val="25"/>
        </w:numPr>
        <w:jc w:val="both"/>
        <w:rPr>
          <w:rFonts w:cs="Times New Roman"/>
          <w:lang w:val="ro-RO"/>
        </w:rPr>
      </w:pPr>
      <w:r w:rsidRPr="0001441A">
        <w:rPr>
          <w:lang w:val="ro-RO"/>
        </w:rPr>
        <w:t xml:space="preserve">Susţinerea sănătăţii şi </w:t>
      </w:r>
      <w:r>
        <w:rPr>
          <w:lang w:val="ro-RO"/>
        </w:rPr>
        <w:t>calită</w:t>
      </w:r>
      <w:r>
        <w:rPr>
          <w:rFonts w:ascii="Arial" w:hAnsi="Arial" w:cs="Arial"/>
          <w:lang w:val="ro-RO"/>
        </w:rPr>
        <w:t>ţ</w:t>
      </w:r>
      <w:r>
        <w:rPr>
          <w:lang w:val="ro-RO"/>
        </w:rPr>
        <w:t>ii vie</w:t>
      </w:r>
      <w:r>
        <w:rPr>
          <w:rFonts w:ascii="Arial" w:hAnsi="Arial" w:cs="Arial"/>
          <w:lang w:val="ro-RO"/>
        </w:rPr>
        <w:t>ţ</w:t>
      </w:r>
      <w:r>
        <w:rPr>
          <w:lang w:val="ro-RO"/>
        </w:rPr>
        <w:t>ii</w:t>
      </w:r>
      <w:r w:rsidRPr="0001441A">
        <w:rPr>
          <w:lang w:val="ro-RO"/>
        </w:rPr>
        <w:t xml:space="preserve"> tinerilor</w:t>
      </w:r>
      <w:r>
        <w:rPr>
          <w:lang w:val="ro-RO"/>
        </w:rPr>
        <w:t>,</w:t>
      </w:r>
      <w:r w:rsidRPr="0001441A">
        <w:rPr>
          <w:lang w:val="ro-RO"/>
        </w:rPr>
        <w:t xml:space="preserve"> </w:t>
      </w:r>
      <w:r w:rsidRPr="00037E47">
        <w:rPr>
          <w:lang w:val="ro-RO"/>
        </w:rPr>
        <w:t>prevenirea rănirilor, tulburărilor de alimentaţie, dependenţei şi abuzului de substanţe</w:t>
      </w:r>
      <w:r w:rsidRPr="00FD33DA">
        <w:rPr>
          <w:lang w:val="ro-RO"/>
        </w:rPr>
        <w:t>.</w:t>
      </w:r>
    </w:p>
    <w:p w:rsidR="00C76ED0" w:rsidRDefault="00C76ED0" w:rsidP="00B12674">
      <w:pPr>
        <w:pStyle w:val="Heading5"/>
        <w:jc w:val="both"/>
        <w:rPr>
          <w:lang w:val="ro-RO"/>
        </w:rPr>
      </w:pPr>
    </w:p>
    <w:p w:rsidR="00B50A36" w:rsidRDefault="00B50A36" w:rsidP="00B12674">
      <w:pPr>
        <w:pStyle w:val="Heading5"/>
        <w:jc w:val="both"/>
        <w:rPr>
          <w:rFonts w:cs="Times New Roman"/>
          <w:lang w:val="ro-RO"/>
        </w:rPr>
      </w:pPr>
      <w:r w:rsidRPr="0001441A">
        <w:rPr>
          <w:lang w:val="ro-RO"/>
        </w:rPr>
        <w:t>Direcţii de acţiune:</w:t>
      </w:r>
    </w:p>
    <w:p w:rsidR="00B50A36" w:rsidRDefault="00B50A36" w:rsidP="00C76ED0">
      <w:pPr>
        <w:pStyle w:val="ColorfulList-Accent11"/>
        <w:ind w:left="0"/>
        <w:jc w:val="both"/>
        <w:rPr>
          <w:lang w:val="ro-RO"/>
        </w:rPr>
      </w:pPr>
      <w:r>
        <w:rPr>
          <w:lang w:val="ro-RO"/>
        </w:rPr>
        <w:t xml:space="preserve">a. </w:t>
      </w:r>
      <w:r w:rsidRPr="00466D08">
        <w:rPr>
          <w:lang w:val="ro-RO"/>
        </w:rPr>
        <w:t xml:space="preserve">Desfășurarea de campanii </w:t>
      </w:r>
      <w:r>
        <w:rPr>
          <w:lang w:val="ro-RO"/>
        </w:rPr>
        <w:t xml:space="preserve">în şcoli pe teme </w:t>
      </w:r>
      <w:r w:rsidRPr="00466D08">
        <w:rPr>
          <w:lang w:val="ro-RO"/>
        </w:rPr>
        <w:t>privind alimenta</w:t>
      </w:r>
      <w:r>
        <w:rPr>
          <w:lang w:val="ro-RO"/>
        </w:rPr>
        <w:t>ţ</w:t>
      </w:r>
      <w:r w:rsidRPr="00466D08">
        <w:rPr>
          <w:lang w:val="ro-RO"/>
        </w:rPr>
        <w:t>ia s</w:t>
      </w:r>
      <w:r>
        <w:rPr>
          <w:lang w:val="ro-RO"/>
        </w:rPr>
        <w:t>ă</w:t>
      </w:r>
      <w:r w:rsidRPr="00466D08">
        <w:rPr>
          <w:lang w:val="ro-RO"/>
        </w:rPr>
        <w:t xml:space="preserve">nătoasă </w:t>
      </w:r>
      <w:r>
        <w:rPr>
          <w:lang w:val="ro-RO"/>
        </w:rPr>
        <w:t xml:space="preserve"> şi sănătatea reproducerii;</w:t>
      </w:r>
    </w:p>
    <w:p w:rsidR="00B50A36" w:rsidRDefault="00B50A36" w:rsidP="00C76ED0">
      <w:pPr>
        <w:pStyle w:val="ColorfulList-Accent11"/>
        <w:ind w:left="0"/>
        <w:jc w:val="both"/>
        <w:rPr>
          <w:lang w:val="ro-RO"/>
        </w:rPr>
      </w:pPr>
      <w:r>
        <w:rPr>
          <w:lang w:val="ro-RO"/>
        </w:rPr>
        <w:t xml:space="preserve">b. </w:t>
      </w:r>
      <w:r w:rsidRPr="00466D08">
        <w:rPr>
          <w:lang w:val="ro-RO"/>
        </w:rPr>
        <w:t>Promovarea educaţiei rutiere şi a conducerii auto preventive în rândul tinerilor</w:t>
      </w:r>
      <w:r>
        <w:rPr>
          <w:lang w:val="ro-RO"/>
        </w:rPr>
        <w:t>;</w:t>
      </w:r>
    </w:p>
    <w:p w:rsidR="00B50A36" w:rsidRPr="00A02037" w:rsidRDefault="00B50A36" w:rsidP="00C76ED0">
      <w:pPr>
        <w:pStyle w:val="ColorfulList-Accent11"/>
        <w:ind w:left="0"/>
        <w:jc w:val="both"/>
        <w:rPr>
          <w:lang w:val="ro-RO"/>
        </w:rPr>
      </w:pPr>
      <w:r>
        <w:rPr>
          <w:lang w:val="ro-RO"/>
        </w:rPr>
        <w:t xml:space="preserve">c. </w:t>
      </w:r>
      <w:r w:rsidRPr="00466D08">
        <w:rPr>
          <w:lang w:val="ro-RO"/>
        </w:rPr>
        <w:t>Facilitarea accesului tinerilor la serviciile de sănătate, făcându-le mult mai prietenoase fa</w:t>
      </w:r>
      <w:r>
        <w:rPr>
          <w:lang w:val="ro-RO"/>
        </w:rPr>
        <w:t>ţ</w:t>
      </w:r>
      <w:r w:rsidRPr="00466D08">
        <w:rPr>
          <w:lang w:val="ro-RO"/>
        </w:rPr>
        <w:t>ă de pacien</w:t>
      </w:r>
      <w:r>
        <w:rPr>
          <w:lang w:val="ro-RO"/>
        </w:rPr>
        <w:t>ţ</w:t>
      </w:r>
      <w:r w:rsidRPr="00466D08">
        <w:rPr>
          <w:lang w:val="ro-RO"/>
        </w:rPr>
        <w:t>i</w:t>
      </w:r>
      <w:r>
        <w:rPr>
          <w:lang w:val="ro-RO"/>
        </w:rPr>
        <w:t xml:space="preserve"> şi </w:t>
      </w:r>
      <w:r w:rsidRPr="00A02037">
        <w:rPr>
          <w:lang w:val="ro-RO"/>
        </w:rPr>
        <w:t>sprijinirea consolidării accesibilităţii, eficienţei și calităţii serviciilor publice de educaţie pentru sănătate, inclusiv prin prestarea acestora de către sectorul privat sau întreprinderile sociale</w:t>
      </w:r>
      <w:r>
        <w:rPr>
          <w:lang w:val="ro-RO"/>
        </w:rPr>
        <w:t>;</w:t>
      </w:r>
    </w:p>
    <w:p w:rsidR="00B50A36" w:rsidRDefault="00B50A36" w:rsidP="00C76ED0">
      <w:pPr>
        <w:pStyle w:val="ColorfulList-Accent11"/>
        <w:ind w:left="0"/>
        <w:jc w:val="both"/>
        <w:rPr>
          <w:lang w:val="ro-RO"/>
        </w:rPr>
      </w:pPr>
      <w:r>
        <w:rPr>
          <w:lang w:val="ro-RO"/>
        </w:rPr>
        <w:t xml:space="preserve">d. </w:t>
      </w:r>
      <w:r w:rsidRPr="00466D08">
        <w:rPr>
          <w:lang w:val="ro-RO"/>
        </w:rPr>
        <w:t>Încurajarea realizării educaţiei pentru sănătate de la egal la egal prin  susţinerea proiect</w:t>
      </w:r>
      <w:r>
        <w:rPr>
          <w:lang w:val="ro-RO"/>
        </w:rPr>
        <w:t>e</w:t>
      </w:r>
      <w:r w:rsidRPr="00466D08">
        <w:rPr>
          <w:lang w:val="ro-RO"/>
        </w:rPr>
        <w:t>lor de prevenire a bolilor cu transmitere sexuală şi atenuare a impactului infecţiei cu HIV</w:t>
      </w:r>
      <w:r>
        <w:rPr>
          <w:lang w:val="ro-RO"/>
        </w:rPr>
        <w:t>;</w:t>
      </w:r>
    </w:p>
    <w:p w:rsidR="00B50A36" w:rsidRPr="00BC651D" w:rsidRDefault="00B50A36" w:rsidP="00C76ED0">
      <w:pPr>
        <w:pStyle w:val="ColorfulList-Accent11"/>
        <w:spacing w:after="0" w:line="240" w:lineRule="auto"/>
        <w:ind w:left="0"/>
        <w:jc w:val="both"/>
        <w:textAlignment w:val="baseline"/>
        <w:rPr>
          <w:lang w:val="ro-RO"/>
        </w:rPr>
      </w:pPr>
      <w:r>
        <w:rPr>
          <w:lang w:val="ro-RO"/>
        </w:rPr>
        <w:t xml:space="preserve">e. </w:t>
      </w:r>
      <w:r w:rsidRPr="00466D08">
        <w:rPr>
          <w:lang w:val="ro-RO"/>
        </w:rPr>
        <w:t xml:space="preserve">Desfășurarea de acţiuni aliniate la Strategia Naţională Antidrog 2013 – 2020 pentru prevenirea  consumului </w:t>
      </w:r>
      <w:r>
        <w:rPr>
          <w:lang w:val="ro-RO"/>
        </w:rPr>
        <w:t>de droguri în rândul tinerilor.</w:t>
      </w:r>
    </w:p>
    <w:p w:rsidR="00B50A36" w:rsidRPr="006B11F0" w:rsidRDefault="00B50A36" w:rsidP="00B12674">
      <w:pPr>
        <w:pStyle w:val="ColorfulList-Accent11"/>
        <w:spacing w:after="0" w:line="240" w:lineRule="auto"/>
        <w:ind w:left="993"/>
        <w:jc w:val="both"/>
        <w:textAlignment w:val="baseline"/>
        <w:rPr>
          <w:color w:val="FF0000"/>
          <w:lang w:val="ro-RO"/>
        </w:rPr>
      </w:pPr>
    </w:p>
    <w:p w:rsidR="00B50A36" w:rsidRDefault="00B50A36" w:rsidP="00B12674">
      <w:pPr>
        <w:pStyle w:val="Heading4"/>
        <w:numPr>
          <w:ilvl w:val="1"/>
          <w:numId w:val="25"/>
        </w:numPr>
        <w:jc w:val="both"/>
        <w:rPr>
          <w:rFonts w:cs="Times New Roman"/>
          <w:lang w:val="ro-RO"/>
        </w:rPr>
      </w:pPr>
      <w:r w:rsidRPr="0001441A">
        <w:rPr>
          <w:lang w:val="ro-RO"/>
        </w:rPr>
        <w:t>Realizarea educaţiei prin sport şi activitate fizică pentru formarea un</w:t>
      </w:r>
      <w:r>
        <w:rPr>
          <w:lang w:val="ro-RO"/>
        </w:rPr>
        <w:t>ui</w:t>
      </w:r>
      <w:r w:rsidRPr="0001441A">
        <w:rPr>
          <w:lang w:val="ro-RO"/>
        </w:rPr>
        <w:t xml:space="preserve">  stil de viaţă sănătos,</w:t>
      </w:r>
      <w:r>
        <w:rPr>
          <w:lang w:val="ro-RO"/>
        </w:rPr>
        <w:t xml:space="preserve"> a </w:t>
      </w:r>
      <w:r w:rsidRPr="0001441A">
        <w:rPr>
          <w:lang w:val="ro-RO"/>
        </w:rPr>
        <w:t>dezvoltării ca cetăţeni activi şi responsabili</w:t>
      </w:r>
      <w:r>
        <w:rPr>
          <w:lang w:val="ro-RO"/>
        </w:rPr>
        <w:t xml:space="preserve"> și î</w:t>
      </w:r>
      <w:r w:rsidRPr="0001441A">
        <w:rPr>
          <w:lang w:val="ro-RO"/>
        </w:rPr>
        <w:t>ncurajarea asocierii de către tineri a recreerii cu practicarea sportului şi mişcăr</w:t>
      </w:r>
      <w:r>
        <w:rPr>
          <w:lang w:val="ro-RO"/>
        </w:rPr>
        <w:t>ii</w:t>
      </w:r>
    </w:p>
    <w:p w:rsidR="00B50A36" w:rsidRDefault="00B50A36" w:rsidP="00B12674">
      <w:pPr>
        <w:spacing w:after="0" w:line="240" w:lineRule="auto"/>
        <w:jc w:val="both"/>
        <w:textAlignment w:val="baseline"/>
        <w:rPr>
          <w:sz w:val="24"/>
          <w:szCs w:val="24"/>
          <w:lang w:val="ro-RO"/>
        </w:rPr>
      </w:pPr>
    </w:p>
    <w:p w:rsidR="00B50A36" w:rsidRDefault="00B50A36" w:rsidP="00B12674">
      <w:pPr>
        <w:pStyle w:val="Heading5"/>
        <w:jc w:val="both"/>
        <w:rPr>
          <w:rFonts w:cs="Times New Roman"/>
          <w:lang w:val="ro-RO"/>
        </w:rPr>
      </w:pPr>
      <w:r w:rsidRPr="0001441A">
        <w:rPr>
          <w:lang w:val="ro-RO"/>
        </w:rPr>
        <w:t>Direcţii de acţiune:</w:t>
      </w:r>
    </w:p>
    <w:p w:rsidR="00B50A36" w:rsidRPr="00466D08" w:rsidRDefault="00B50A36" w:rsidP="00B12674">
      <w:pPr>
        <w:pStyle w:val="ColorfulList-Accent11"/>
        <w:numPr>
          <w:ilvl w:val="1"/>
          <w:numId w:val="11"/>
        </w:numPr>
        <w:spacing w:after="0" w:line="240" w:lineRule="auto"/>
        <w:ind w:left="540" w:hanging="540"/>
        <w:jc w:val="both"/>
        <w:textAlignment w:val="baseline"/>
        <w:rPr>
          <w:lang w:val="ro-RO"/>
        </w:rPr>
      </w:pPr>
      <w:r w:rsidRPr="00466D08">
        <w:rPr>
          <w:lang w:val="ro-RO"/>
        </w:rPr>
        <w:t>Creşterea numărului practicanţilor de sport în rândul copiilor şi tinerilor</w:t>
      </w:r>
      <w:r>
        <w:rPr>
          <w:lang w:val="ro-RO"/>
        </w:rPr>
        <w:t xml:space="preserve"> inclusiv prin amplificarea sistemului de competiţii sportive de masă (pentru toţi);</w:t>
      </w:r>
    </w:p>
    <w:p w:rsidR="00B50A36" w:rsidRPr="00466D08" w:rsidRDefault="00B50A36" w:rsidP="00B12674">
      <w:pPr>
        <w:pStyle w:val="ColorfulList-Accent11"/>
        <w:numPr>
          <w:ilvl w:val="1"/>
          <w:numId w:val="11"/>
        </w:numPr>
        <w:spacing w:after="0" w:line="240" w:lineRule="auto"/>
        <w:ind w:left="540" w:hanging="540"/>
        <w:jc w:val="both"/>
        <w:textAlignment w:val="baseline"/>
        <w:rPr>
          <w:lang w:val="ro-RO"/>
        </w:rPr>
      </w:pPr>
      <w:r w:rsidRPr="00466D08">
        <w:rPr>
          <w:lang w:val="ro-RO"/>
        </w:rPr>
        <w:t>Asigurarea accesului elevilor şi copiilor în bazele sportive și acordarea de facilităţi tinerilor în utilizarea în timpul liber a bazelor sportive existente</w:t>
      </w:r>
      <w:r>
        <w:rPr>
          <w:lang w:val="ro-RO"/>
        </w:rPr>
        <w:t>;</w:t>
      </w:r>
    </w:p>
    <w:p w:rsidR="00B50A36" w:rsidRPr="00466D08" w:rsidRDefault="00B50A36" w:rsidP="00B12674">
      <w:pPr>
        <w:pStyle w:val="ColorfulList-Accent11"/>
        <w:numPr>
          <w:ilvl w:val="1"/>
          <w:numId w:val="11"/>
        </w:numPr>
        <w:spacing w:after="0" w:line="240" w:lineRule="auto"/>
        <w:ind w:left="540" w:hanging="540"/>
        <w:jc w:val="both"/>
        <w:textAlignment w:val="baseline"/>
        <w:rPr>
          <w:lang w:val="ro-RO"/>
        </w:rPr>
      </w:pPr>
      <w:r w:rsidRPr="00466D08">
        <w:rPr>
          <w:lang w:val="ro-RO"/>
        </w:rPr>
        <w:t>Menţinerea educaţiei fizice ca disciplină obligatorie: cel puţin 4 ore/saptămână la ciclul gimnazial, 3 ore la cel liceal, 2 ore la cel universitar şi încurajarea practicării unei ramuri de sport de către fiecare elev sau student și asigurarea unui  plus de atractivitate  a orelor de educa</w:t>
      </w:r>
      <w:r>
        <w:rPr>
          <w:lang w:val="ro-RO"/>
        </w:rPr>
        <w:t>ţ</w:t>
      </w:r>
      <w:r w:rsidRPr="00466D08">
        <w:rPr>
          <w:lang w:val="ro-RO"/>
        </w:rPr>
        <w:t xml:space="preserve">ie fizică din școli prin includerea de activităţi sportive </w:t>
      </w:r>
      <w:r>
        <w:rPr>
          <w:lang w:val="ro-RO"/>
        </w:rPr>
        <w:t>preferate de</w:t>
      </w:r>
      <w:r w:rsidRPr="00466D08">
        <w:rPr>
          <w:lang w:val="ro-RO"/>
        </w:rPr>
        <w:t xml:space="preserve"> tineret – fitness, aerobic</w:t>
      </w:r>
      <w:r>
        <w:rPr>
          <w:lang w:val="ro-RO"/>
        </w:rPr>
        <w:t>;</w:t>
      </w:r>
    </w:p>
    <w:p w:rsidR="00B50A36" w:rsidRPr="00466D08" w:rsidRDefault="00B50A36" w:rsidP="00B12674">
      <w:pPr>
        <w:pStyle w:val="ColorfulList-Accent11"/>
        <w:numPr>
          <w:ilvl w:val="1"/>
          <w:numId w:val="11"/>
        </w:numPr>
        <w:spacing w:after="0" w:line="240" w:lineRule="auto"/>
        <w:ind w:left="540" w:hanging="540"/>
        <w:jc w:val="both"/>
        <w:textAlignment w:val="baseline"/>
        <w:rPr>
          <w:lang w:val="ro-RO"/>
        </w:rPr>
      </w:pPr>
      <w:r w:rsidRPr="00466D08">
        <w:rPr>
          <w:lang w:val="ro-RO"/>
        </w:rPr>
        <w:t>Combaterea excesului de greutate, obezitate în rândul tinerilor prin programe speciale de activităţi fizice</w:t>
      </w:r>
      <w:r>
        <w:rPr>
          <w:lang w:val="ro-RO"/>
        </w:rPr>
        <w:t>;</w:t>
      </w:r>
    </w:p>
    <w:p w:rsidR="00B50A36" w:rsidRPr="00466D08" w:rsidRDefault="00B50A36" w:rsidP="00B12674">
      <w:pPr>
        <w:pStyle w:val="ColorfulList-Accent11"/>
        <w:numPr>
          <w:ilvl w:val="1"/>
          <w:numId w:val="11"/>
        </w:numPr>
        <w:spacing w:after="0" w:line="240" w:lineRule="auto"/>
        <w:ind w:left="540" w:hanging="540"/>
        <w:jc w:val="both"/>
        <w:textAlignment w:val="baseline"/>
        <w:rPr>
          <w:lang w:val="ro-RO"/>
        </w:rPr>
      </w:pPr>
      <w:r w:rsidRPr="00466D08">
        <w:rPr>
          <w:lang w:val="ro-RO"/>
        </w:rPr>
        <w:t>Promovarea modelului sportivilor români de performanţă în rândul tinerilor</w:t>
      </w:r>
      <w:r>
        <w:rPr>
          <w:lang w:val="ro-RO"/>
        </w:rPr>
        <w:t>;</w:t>
      </w:r>
    </w:p>
    <w:p w:rsidR="00B50A36" w:rsidRPr="00466D08" w:rsidRDefault="00B50A36" w:rsidP="00B12674">
      <w:pPr>
        <w:pStyle w:val="ColorfulList-Accent11"/>
        <w:numPr>
          <w:ilvl w:val="1"/>
          <w:numId w:val="11"/>
        </w:numPr>
        <w:spacing w:after="0" w:line="240" w:lineRule="auto"/>
        <w:ind w:left="540" w:hanging="540"/>
        <w:jc w:val="both"/>
        <w:textAlignment w:val="baseline"/>
        <w:rPr>
          <w:lang w:val="ro-RO"/>
        </w:rPr>
      </w:pPr>
      <w:r w:rsidRPr="00466D08">
        <w:rPr>
          <w:lang w:val="ro-RO"/>
        </w:rPr>
        <w:t>Folosirea mai intensă a oportunităţilor create prin programele europene pentru tineri pentru încurajarea practicării sporturilor, schimbului de experienţă şi formării în domeniul educaţiei prin sport</w:t>
      </w:r>
      <w:r>
        <w:rPr>
          <w:lang w:val="ro-RO"/>
        </w:rPr>
        <w:t>;</w:t>
      </w:r>
    </w:p>
    <w:p w:rsidR="00B50A36" w:rsidRPr="00466D08" w:rsidRDefault="00B50A36" w:rsidP="00B12674">
      <w:pPr>
        <w:pStyle w:val="ColorfulList-Accent11"/>
        <w:numPr>
          <w:ilvl w:val="1"/>
          <w:numId w:val="11"/>
        </w:numPr>
        <w:spacing w:after="0" w:line="240" w:lineRule="auto"/>
        <w:ind w:left="540" w:hanging="540"/>
        <w:jc w:val="both"/>
        <w:textAlignment w:val="baseline"/>
        <w:rPr>
          <w:lang w:val="ro-RO"/>
        </w:rPr>
      </w:pPr>
      <w:r w:rsidRPr="00466D08">
        <w:rPr>
          <w:lang w:val="ro-RO"/>
        </w:rPr>
        <w:lastRenderedPageBreak/>
        <w:t>Folosirea oportunităţilor create de programul ”Europa pentru cetăţeni” în sprijinul sportului practicat de tineri la nivel de începător</w:t>
      </w:r>
      <w:r>
        <w:rPr>
          <w:lang w:val="ro-RO"/>
        </w:rPr>
        <w:t>;</w:t>
      </w:r>
    </w:p>
    <w:p w:rsidR="00B50A36" w:rsidRPr="00466D08" w:rsidRDefault="00B50A36" w:rsidP="00B12674">
      <w:pPr>
        <w:pStyle w:val="ColorfulList-Accent11"/>
        <w:numPr>
          <w:ilvl w:val="1"/>
          <w:numId w:val="11"/>
        </w:numPr>
        <w:spacing w:after="0" w:line="240" w:lineRule="auto"/>
        <w:ind w:left="540" w:hanging="540"/>
        <w:jc w:val="both"/>
        <w:textAlignment w:val="baseline"/>
        <w:rPr>
          <w:lang w:val="ro-RO"/>
        </w:rPr>
      </w:pPr>
      <w:r>
        <w:rPr>
          <w:lang w:val="ro-RO"/>
        </w:rPr>
        <w:t>A</w:t>
      </w:r>
      <w:r w:rsidRPr="00466D08">
        <w:rPr>
          <w:lang w:val="ro-RO"/>
        </w:rPr>
        <w:t xml:space="preserve">sigurarea </w:t>
      </w:r>
      <w:r>
        <w:rPr>
          <w:lang w:val="ro-RO"/>
        </w:rPr>
        <w:t xml:space="preserve">ca </w:t>
      </w:r>
      <w:r w:rsidRPr="00466D08">
        <w:rPr>
          <w:lang w:val="ro-RO"/>
        </w:rPr>
        <w:t>un număr tot mai mare de tineri  să practice 30-60 de minute zilnic activitate fizică cu efort moderat (inclusiv activităţi sportive)</w:t>
      </w:r>
      <w:r>
        <w:rPr>
          <w:lang w:val="ro-RO"/>
        </w:rPr>
        <w:t>;</w:t>
      </w:r>
    </w:p>
    <w:p w:rsidR="00B50A36" w:rsidRPr="00466D08" w:rsidRDefault="00B50A36" w:rsidP="00B12674">
      <w:pPr>
        <w:pStyle w:val="ColorfulList-Accent11"/>
        <w:numPr>
          <w:ilvl w:val="1"/>
          <w:numId w:val="11"/>
        </w:numPr>
        <w:spacing w:after="0" w:line="240" w:lineRule="auto"/>
        <w:ind w:left="540" w:hanging="540"/>
        <w:jc w:val="both"/>
        <w:textAlignment w:val="baseline"/>
        <w:rPr>
          <w:lang w:val="ro-RO"/>
        </w:rPr>
      </w:pPr>
      <w:r w:rsidRPr="00466D08">
        <w:rPr>
          <w:lang w:val="ro-RO"/>
        </w:rPr>
        <w:t>Atragerea tinerilor cu dizabilităţi la practicarea sportului, oferind condiţiile adecvate de acces</w:t>
      </w:r>
      <w:r>
        <w:rPr>
          <w:lang w:val="ro-RO"/>
        </w:rPr>
        <w:t xml:space="preserve">, </w:t>
      </w:r>
      <w:r w:rsidRPr="00466D08">
        <w:rPr>
          <w:lang w:val="ro-RO"/>
        </w:rPr>
        <w:t xml:space="preserve">inclusiv în centre de tineret </w:t>
      </w:r>
      <w:r>
        <w:rPr>
          <w:lang w:val="ro-RO"/>
        </w:rPr>
        <w:t xml:space="preserve">şi case ale studenţilor </w:t>
      </w:r>
      <w:r w:rsidRPr="00466D08">
        <w:rPr>
          <w:lang w:val="ro-RO"/>
        </w:rPr>
        <w:t>dotate corespunzător</w:t>
      </w:r>
      <w:r>
        <w:rPr>
          <w:lang w:val="ro-RO"/>
        </w:rPr>
        <w:t>;</w:t>
      </w:r>
    </w:p>
    <w:p w:rsidR="00B50A36" w:rsidRPr="00466D08" w:rsidRDefault="00B50A36" w:rsidP="00B12674">
      <w:pPr>
        <w:jc w:val="both"/>
        <w:rPr>
          <w:lang w:val="ro-RO"/>
        </w:rPr>
      </w:pPr>
    </w:p>
    <w:p w:rsidR="00B50A36" w:rsidRDefault="00B50A36" w:rsidP="00B12674">
      <w:pPr>
        <w:pStyle w:val="Heading4"/>
        <w:numPr>
          <w:ilvl w:val="1"/>
          <w:numId w:val="25"/>
        </w:numPr>
        <w:jc w:val="both"/>
        <w:rPr>
          <w:rFonts w:cs="Times New Roman"/>
          <w:lang w:val="ro-RO"/>
        </w:rPr>
      </w:pPr>
      <w:r w:rsidRPr="0001441A">
        <w:rPr>
          <w:lang w:val="ro-RO"/>
        </w:rPr>
        <w:t>Îmbunătăţirea oport</w:t>
      </w:r>
      <w:r>
        <w:rPr>
          <w:lang w:val="ro-RO"/>
        </w:rPr>
        <w:t>u</w:t>
      </w:r>
      <w:r w:rsidRPr="0001441A">
        <w:rPr>
          <w:lang w:val="ro-RO"/>
        </w:rPr>
        <w:t>nităţilor  de petrecere a timpului liber de către tineri</w:t>
      </w:r>
      <w:r>
        <w:rPr>
          <w:lang w:val="ro-RO"/>
        </w:rPr>
        <w:t>,</w:t>
      </w:r>
      <w:r w:rsidRPr="0001441A">
        <w:rPr>
          <w:lang w:val="ro-RO"/>
        </w:rPr>
        <w:t xml:space="preserve"> atât în modalităţi organizate  cât şi în modalităţi  informale </w:t>
      </w:r>
    </w:p>
    <w:p w:rsidR="00B50A36" w:rsidRDefault="00B50A36" w:rsidP="00B12674">
      <w:pPr>
        <w:pStyle w:val="ColorfulList-Accent11"/>
        <w:spacing w:after="0" w:line="240" w:lineRule="auto"/>
        <w:jc w:val="both"/>
        <w:textAlignment w:val="baseline"/>
        <w:rPr>
          <w:b/>
          <w:bCs/>
          <w:sz w:val="24"/>
          <w:szCs w:val="24"/>
          <w:lang w:val="ro-RO"/>
        </w:rPr>
      </w:pPr>
    </w:p>
    <w:p w:rsidR="00B50A36" w:rsidRDefault="00B50A36" w:rsidP="00B12674">
      <w:pPr>
        <w:pStyle w:val="Heading5"/>
        <w:jc w:val="both"/>
        <w:rPr>
          <w:rFonts w:cs="Times New Roman"/>
          <w:lang w:val="ro-RO"/>
        </w:rPr>
      </w:pPr>
      <w:r w:rsidRPr="0001441A">
        <w:rPr>
          <w:lang w:val="ro-RO"/>
        </w:rPr>
        <w:t>Direcţii de acţiune:</w:t>
      </w:r>
    </w:p>
    <w:p w:rsidR="00B50A36" w:rsidRDefault="00B50A36" w:rsidP="00B12674">
      <w:pPr>
        <w:pStyle w:val="ColorfulList-Accent11"/>
        <w:numPr>
          <w:ilvl w:val="0"/>
          <w:numId w:val="22"/>
        </w:numPr>
        <w:spacing w:after="0" w:line="240" w:lineRule="auto"/>
        <w:ind w:left="360"/>
        <w:jc w:val="both"/>
        <w:textAlignment w:val="baseline"/>
        <w:rPr>
          <w:lang w:val="ro-RO"/>
        </w:rPr>
      </w:pPr>
      <w:r w:rsidRPr="00466D08">
        <w:rPr>
          <w:lang w:val="ro-RO"/>
        </w:rPr>
        <w:t xml:space="preserve">Extinderea reţelei de centre, cluburi, facilităţi de timp liber în administrare publică, privată, </w:t>
      </w:r>
      <w:r>
        <w:rPr>
          <w:lang w:val="ro-RO"/>
        </w:rPr>
        <w:t>sau î</w:t>
      </w:r>
      <w:r w:rsidRPr="00466D08">
        <w:rPr>
          <w:lang w:val="ro-RO"/>
        </w:rPr>
        <w:t xml:space="preserve">n parteneriat </w:t>
      </w:r>
      <w:r>
        <w:rPr>
          <w:lang w:val="ro-RO"/>
        </w:rPr>
        <w:t>public-privat</w:t>
      </w:r>
      <w:r w:rsidRPr="00466D08">
        <w:rPr>
          <w:lang w:val="ro-RO"/>
        </w:rPr>
        <w:t>, implic</w:t>
      </w:r>
      <w:r>
        <w:rPr>
          <w:lang w:val="ro-RO"/>
        </w:rPr>
        <w:t>â</w:t>
      </w:r>
      <w:r w:rsidRPr="00466D08">
        <w:rPr>
          <w:lang w:val="ro-RO"/>
        </w:rPr>
        <w:t>nd costuri reduse dar cu eficacitate maximă în atragerea tinerilor la practicarea diferitelor activităţi de timp liber</w:t>
      </w:r>
      <w:r>
        <w:rPr>
          <w:lang w:val="ro-RO"/>
        </w:rPr>
        <w:t>;</w:t>
      </w:r>
    </w:p>
    <w:p w:rsidR="00B50A36" w:rsidRDefault="00B50A36" w:rsidP="00B12674">
      <w:pPr>
        <w:pStyle w:val="ColorfulList-Accent11"/>
        <w:numPr>
          <w:ilvl w:val="0"/>
          <w:numId w:val="22"/>
        </w:numPr>
        <w:spacing w:after="0" w:line="240" w:lineRule="auto"/>
        <w:ind w:left="360"/>
        <w:jc w:val="both"/>
        <w:textAlignment w:val="baseline"/>
        <w:rPr>
          <w:lang w:val="ro-RO"/>
        </w:rPr>
      </w:pPr>
      <w:r w:rsidRPr="00466D08">
        <w:rPr>
          <w:lang w:val="ro-RO"/>
        </w:rPr>
        <w:t>Utilizarea mai intensă a infrastructuii sistemului de învăţământ ( săli, terenuri sportive, facilităţi pentru spectacole din incinta şcolilor</w:t>
      </w:r>
      <w:r>
        <w:rPr>
          <w:lang w:val="ro-RO"/>
        </w:rPr>
        <w:t xml:space="preserve"> şi facultăţilor</w:t>
      </w:r>
      <w:r w:rsidRPr="00466D08">
        <w:rPr>
          <w:lang w:val="ro-RO"/>
        </w:rPr>
        <w:t xml:space="preserve">) în perioadele când nu se ţin cursuri, pentru a putea fi utilizate de tineri </w:t>
      </w:r>
      <w:r>
        <w:rPr>
          <w:lang w:val="ro-RO"/>
        </w:rPr>
        <w:t>şi/</w:t>
      </w:r>
      <w:r w:rsidRPr="00466D08">
        <w:rPr>
          <w:lang w:val="ro-RO"/>
        </w:rPr>
        <w:t xml:space="preserve">sau </w:t>
      </w:r>
      <w:r>
        <w:rPr>
          <w:lang w:val="ro-RO"/>
        </w:rPr>
        <w:t>ONGT</w:t>
      </w:r>
      <w:r w:rsidRPr="00466D08">
        <w:rPr>
          <w:lang w:val="ro-RO"/>
        </w:rPr>
        <w:t xml:space="preserve"> la practicarea de activităţi de timp liber</w:t>
      </w:r>
      <w:r>
        <w:rPr>
          <w:lang w:val="ro-RO"/>
        </w:rPr>
        <w:t>; d</w:t>
      </w:r>
      <w:r w:rsidRPr="00466D08">
        <w:rPr>
          <w:lang w:val="ro-RO"/>
        </w:rPr>
        <w:t>ezvoltare</w:t>
      </w:r>
      <w:r>
        <w:rPr>
          <w:lang w:val="ro-RO"/>
        </w:rPr>
        <w:t>a</w:t>
      </w:r>
      <w:r w:rsidRPr="00466D08">
        <w:rPr>
          <w:lang w:val="ro-RO"/>
        </w:rPr>
        <w:t xml:space="preserve"> infrastructur</w:t>
      </w:r>
      <w:r>
        <w:rPr>
          <w:lang w:val="ro-RO"/>
        </w:rPr>
        <w:t>ii pentru</w:t>
      </w:r>
      <w:r w:rsidRPr="00466D08">
        <w:rPr>
          <w:lang w:val="ro-RO"/>
        </w:rPr>
        <w:t xml:space="preserve"> sport</w:t>
      </w:r>
      <w:r>
        <w:rPr>
          <w:lang w:val="ro-RO"/>
        </w:rPr>
        <w:t>ul</w:t>
      </w:r>
      <w:r w:rsidRPr="00466D08">
        <w:rPr>
          <w:lang w:val="ro-RO"/>
        </w:rPr>
        <w:t xml:space="preserve"> de mas</w:t>
      </w:r>
      <w:r>
        <w:rPr>
          <w:lang w:val="ro-RO"/>
        </w:rPr>
        <w:t>ă</w:t>
      </w:r>
      <w:r w:rsidRPr="00466D08">
        <w:rPr>
          <w:lang w:val="ro-RO"/>
        </w:rPr>
        <w:t xml:space="preserve"> – baze sportive integrate</w:t>
      </w:r>
      <w:r>
        <w:rPr>
          <w:lang w:val="ro-RO"/>
        </w:rPr>
        <w:t>;</w:t>
      </w:r>
    </w:p>
    <w:p w:rsidR="00B50A36" w:rsidRDefault="00B50A36" w:rsidP="00B12674">
      <w:pPr>
        <w:pStyle w:val="ColorfulList-Accent11"/>
        <w:numPr>
          <w:ilvl w:val="0"/>
          <w:numId w:val="22"/>
        </w:numPr>
        <w:spacing w:after="0" w:line="240" w:lineRule="auto"/>
        <w:ind w:left="360"/>
        <w:jc w:val="both"/>
        <w:textAlignment w:val="baseline"/>
        <w:rPr>
          <w:lang w:val="ro-RO"/>
        </w:rPr>
      </w:pPr>
      <w:r w:rsidRPr="00466D08">
        <w:rPr>
          <w:lang w:val="ro-RO"/>
        </w:rPr>
        <w:t xml:space="preserve">Implicarea </w:t>
      </w:r>
      <w:r>
        <w:rPr>
          <w:lang w:val="ro-RO"/>
        </w:rPr>
        <w:t>ONGT</w:t>
      </w:r>
      <w:r w:rsidRPr="00466D08">
        <w:rPr>
          <w:lang w:val="ro-RO"/>
        </w:rPr>
        <w:t xml:space="preserve"> şi a tinerilor în dezvoltarea  facilităţilor de timp liber şi în gestionarea lor, inclusiv pe bază de voluntariat</w:t>
      </w:r>
      <w:r>
        <w:rPr>
          <w:lang w:val="ro-RO"/>
        </w:rPr>
        <w:t>;</w:t>
      </w:r>
    </w:p>
    <w:p w:rsidR="00B50A36" w:rsidRDefault="00B50A36" w:rsidP="00B12674">
      <w:pPr>
        <w:pStyle w:val="ColorfulList-Accent11"/>
        <w:numPr>
          <w:ilvl w:val="0"/>
          <w:numId w:val="22"/>
        </w:numPr>
        <w:spacing w:after="0" w:line="240" w:lineRule="auto"/>
        <w:ind w:left="360"/>
        <w:jc w:val="both"/>
        <w:textAlignment w:val="baseline"/>
        <w:rPr>
          <w:lang w:val="ro-RO"/>
        </w:rPr>
      </w:pPr>
      <w:r w:rsidRPr="00466D08">
        <w:rPr>
          <w:lang w:val="ro-RO"/>
        </w:rPr>
        <w:t>Dezvoltarea şi creșterea calită</w:t>
      </w:r>
      <w:r>
        <w:rPr>
          <w:lang w:val="ro-RO"/>
        </w:rPr>
        <w:t>ţ</w:t>
      </w:r>
      <w:r w:rsidRPr="00466D08">
        <w:rPr>
          <w:lang w:val="ro-RO"/>
        </w:rPr>
        <w:t>ii reţelei de tabere şi campusuri de vacanţă,</w:t>
      </w:r>
      <w:r>
        <w:rPr>
          <w:lang w:val="ro-RO"/>
        </w:rPr>
        <w:t xml:space="preserve"> case de cultură ale studenţilor, complexuri sportive pentru tineret, </w:t>
      </w:r>
      <w:r w:rsidRPr="00466D08">
        <w:rPr>
          <w:lang w:val="ro-RO"/>
        </w:rPr>
        <w:t xml:space="preserve"> inclusiv mai buna utilizare a celor existente prin administrare în parteneriat </w:t>
      </w:r>
      <w:r>
        <w:rPr>
          <w:lang w:val="ro-RO"/>
        </w:rPr>
        <w:t xml:space="preserve">ONGT - </w:t>
      </w:r>
      <w:r w:rsidRPr="00466D08">
        <w:rPr>
          <w:lang w:val="ro-RO"/>
        </w:rPr>
        <w:t>administra</w:t>
      </w:r>
      <w:r>
        <w:rPr>
          <w:lang w:val="ro-RO"/>
        </w:rPr>
        <w:t>ţ</w:t>
      </w:r>
      <w:r w:rsidRPr="00466D08">
        <w:rPr>
          <w:lang w:val="ro-RO"/>
        </w:rPr>
        <w:t>ie locală – administra</w:t>
      </w:r>
      <w:r>
        <w:rPr>
          <w:lang w:val="ro-RO"/>
        </w:rPr>
        <w:t>ţ</w:t>
      </w:r>
      <w:r w:rsidRPr="00466D08">
        <w:rPr>
          <w:lang w:val="ro-RO"/>
        </w:rPr>
        <w:t>ie centrală</w:t>
      </w:r>
      <w:r>
        <w:rPr>
          <w:lang w:val="ro-RO"/>
        </w:rPr>
        <w:t>, după caz,</w:t>
      </w:r>
      <w:r w:rsidRPr="00466D08">
        <w:rPr>
          <w:lang w:val="ro-RO"/>
        </w:rPr>
        <w:t xml:space="preserve"> sau public-priva</w:t>
      </w:r>
      <w:r>
        <w:rPr>
          <w:lang w:val="ro-RO"/>
        </w:rPr>
        <w:t>t;</w:t>
      </w:r>
    </w:p>
    <w:p w:rsidR="00B50A36" w:rsidRDefault="00B50A36" w:rsidP="00B12674">
      <w:pPr>
        <w:pStyle w:val="ColorfulList-Accent11"/>
        <w:numPr>
          <w:ilvl w:val="0"/>
          <w:numId w:val="22"/>
        </w:numPr>
        <w:spacing w:after="0" w:line="240" w:lineRule="auto"/>
        <w:ind w:left="360"/>
        <w:jc w:val="both"/>
        <w:textAlignment w:val="baseline"/>
        <w:rPr>
          <w:lang w:val="ro-RO"/>
        </w:rPr>
      </w:pPr>
      <w:r w:rsidRPr="00466D08">
        <w:rPr>
          <w:lang w:val="ro-RO"/>
        </w:rPr>
        <w:t>Formarea profesională, perfecţionarea şi valorificarea competenţelor animatorilor de timp liber şi a lucrătorilor de tineret în atragerea tinerilor către activităţi de timp liber cu efect benefic asupra dezvoltării lor personale</w:t>
      </w:r>
      <w:r>
        <w:rPr>
          <w:lang w:val="ro-RO"/>
        </w:rPr>
        <w:t>;</w:t>
      </w:r>
    </w:p>
    <w:p w:rsidR="00B50A36" w:rsidRDefault="00B50A36" w:rsidP="00B12674">
      <w:pPr>
        <w:pStyle w:val="ColorfulList-Accent11"/>
        <w:numPr>
          <w:ilvl w:val="0"/>
          <w:numId w:val="22"/>
        </w:numPr>
        <w:spacing w:after="0" w:line="240" w:lineRule="auto"/>
        <w:ind w:left="360"/>
        <w:jc w:val="both"/>
        <w:textAlignment w:val="baseline"/>
        <w:rPr>
          <w:lang w:val="ro-RO"/>
        </w:rPr>
      </w:pPr>
      <w:r w:rsidRPr="00466D08">
        <w:rPr>
          <w:lang w:val="ro-RO"/>
        </w:rPr>
        <w:t>Acordarea de îndrumare şi sprijin administraţiilor locale pentru a  dezvolta infrastructura necesară practicării sportului în proximitate: terenuri de sport, bazine de înot, skate-parcuri, piste de biciclete</w:t>
      </w:r>
      <w:r>
        <w:rPr>
          <w:lang w:val="ro-RO"/>
        </w:rPr>
        <w:t>, facilităţi pentru sport şi mişcare în aer liber în zonele verzi din proximitatea localităţilor etc.</w:t>
      </w:r>
    </w:p>
    <w:p w:rsidR="00B50A36" w:rsidRPr="00466D08" w:rsidRDefault="00B50A36" w:rsidP="00B12674">
      <w:pPr>
        <w:spacing w:after="0" w:line="240" w:lineRule="auto"/>
        <w:jc w:val="both"/>
        <w:textAlignment w:val="baseline"/>
        <w:rPr>
          <w:lang w:val="ro-RO"/>
        </w:rPr>
      </w:pPr>
    </w:p>
    <w:p w:rsidR="00DF75C3" w:rsidRDefault="00DF75C3" w:rsidP="00B12674">
      <w:pPr>
        <w:spacing w:after="0" w:line="240" w:lineRule="auto"/>
        <w:jc w:val="both"/>
        <w:textAlignment w:val="baseline"/>
        <w:rPr>
          <w:color w:val="99CCFF"/>
          <w:sz w:val="24"/>
          <w:szCs w:val="24"/>
          <w:lang w:val="ro-RO"/>
        </w:rPr>
      </w:pPr>
    </w:p>
    <w:p w:rsidR="00DF75C3" w:rsidRDefault="00DF75C3" w:rsidP="00B12674">
      <w:pPr>
        <w:spacing w:after="0" w:line="240" w:lineRule="auto"/>
        <w:jc w:val="both"/>
        <w:textAlignment w:val="baseline"/>
        <w:rPr>
          <w:color w:val="99CCFF"/>
          <w:sz w:val="24"/>
          <w:szCs w:val="24"/>
          <w:lang w:val="ro-RO"/>
        </w:rPr>
      </w:pPr>
    </w:p>
    <w:p w:rsidR="00B50A36" w:rsidRPr="0002274F" w:rsidRDefault="00B50A36" w:rsidP="00B12674">
      <w:pPr>
        <w:pStyle w:val="Heading2"/>
        <w:numPr>
          <w:ilvl w:val="0"/>
          <w:numId w:val="25"/>
        </w:numPr>
        <w:jc w:val="both"/>
        <w:rPr>
          <w:rFonts w:cs="Times New Roman"/>
          <w:lang w:val="ro-RO"/>
        </w:rPr>
      </w:pPr>
      <w:bookmarkStart w:id="85" w:name="_Toc370211878"/>
      <w:r w:rsidRPr="0002274F">
        <w:rPr>
          <w:lang w:val="ro-RO"/>
        </w:rPr>
        <w:t>Participare şi Voluntariat</w:t>
      </w:r>
      <w:bookmarkEnd w:id="85"/>
    </w:p>
    <w:p w:rsidR="00B50A36" w:rsidRPr="00466D08" w:rsidRDefault="00B50A36" w:rsidP="00B12674">
      <w:pPr>
        <w:jc w:val="both"/>
        <w:rPr>
          <w:lang w:val="ro-RO"/>
        </w:rPr>
      </w:pPr>
    </w:p>
    <w:p w:rsidR="00B50A36" w:rsidRPr="005D1777" w:rsidRDefault="00B50A36" w:rsidP="00B12674">
      <w:pPr>
        <w:pStyle w:val="Heading3"/>
        <w:jc w:val="both"/>
        <w:rPr>
          <w:rFonts w:cs="Times New Roman"/>
          <w:lang w:val="ro-RO"/>
        </w:rPr>
      </w:pPr>
      <w:bookmarkStart w:id="86" w:name="_Toc370211879"/>
      <w:r w:rsidRPr="005D1777">
        <w:rPr>
          <w:lang w:val="ro-RO"/>
        </w:rPr>
        <w:t>Obiective specifice şi direcţii de acţiune</w:t>
      </w:r>
      <w:bookmarkEnd w:id="86"/>
    </w:p>
    <w:p w:rsidR="00B50A36" w:rsidRPr="00357EA5" w:rsidRDefault="00B50A36" w:rsidP="00B12674">
      <w:pPr>
        <w:jc w:val="both"/>
        <w:rPr>
          <w:lang w:val="ro-RO"/>
        </w:rPr>
      </w:pPr>
    </w:p>
    <w:p w:rsidR="00B50A36" w:rsidRDefault="00B50A36" w:rsidP="00B12674">
      <w:pPr>
        <w:pStyle w:val="Heading5"/>
        <w:numPr>
          <w:ilvl w:val="1"/>
          <w:numId w:val="25"/>
        </w:numPr>
        <w:jc w:val="both"/>
        <w:rPr>
          <w:lang w:val="ro-RO"/>
        </w:rPr>
      </w:pPr>
      <w:r>
        <w:rPr>
          <w:lang w:val="ro-RO"/>
        </w:rPr>
        <w:t>Creşterea gradului de participare a tinerilor la viaţa comunităţii, sub toate aspectele ei, sociale, educaţionale, culturale, economice, de sănătate.</w:t>
      </w:r>
    </w:p>
    <w:p w:rsidR="00B50A36" w:rsidRDefault="00B50A36" w:rsidP="00B12674">
      <w:pPr>
        <w:pStyle w:val="Heading6"/>
        <w:jc w:val="both"/>
        <w:rPr>
          <w:rFonts w:cs="Times New Roman"/>
          <w:lang w:val="ro-RO"/>
        </w:rPr>
      </w:pPr>
      <w:r w:rsidRPr="0002274F">
        <w:rPr>
          <w:lang w:val="ro-RO"/>
        </w:rPr>
        <w:t>Direcţii de acţiune:</w:t>
      </w:r>
    </w:p>
    <w:p w:rsidR="00B50A36" w:rsidRDefault="00B50A36" w:rsidP="00B12674">
      <w:pPr>
        <w:numPr>
          <w:ilvl w:val="0"/>
          <w:numId w:val="28"/>
        </w:numPr>
        <w:spacing w:after="0" w:line="240" w:lineRule="auto"/>
        <w:ind w:left="360"/>
        <w:jc w:val="both"/>
        <w:rPr>
          <w:lang w:val="ro-RO"/>
        </w:rPr>
      </w:pPr>
      <w:r w:rsidRPr="00466D08">
        <w:rPr>
          <w:lang w:val="ro-RO"/>
        </w:rPr>
        <w:t xml:space="preserve">Crearea </w:t>
      </w:r>
      <w:r>
        <w:rPr>
          <w:lang w:val="ro-RO"/>
        </w:rPr>
        <w:t>mai multor</w:t>
      </w:r>
      <w:r w:rsidRPr="00466D08">
        <w:rPr>
          <w:lang w:val="ro-RO"/>
        </w:rPr>
        <w:t xml:space="preserve"> oportunităţi de participare a tinerilor la viaţa comunităţii</w:t>
      </w:r>
      <w:r>
        <w:rPr>
          <w:lang w:val="ro-RO"/>
        </w:rPr>
        <w:t>;</w:t>
      </w:r>
    </w:p>
    <w:p w:rsidR="00B50A36" w:rsidRDefault="00B50A36" w:rsidP="00B12674">
      <w:pPr>
        <w:numPr>
          <w:ilvl w:val="0"/>
          <w:numId w:val="28"/>
        </w:numPr>
        <w:spacing w:after="0" w:line="240" w:lineRule="auto"/>
        <w:ind w:left="360"/>
        <w:jc w:val="both"/>
        <w:rPr>
          <w:lang w:val="ro-RO"/>
        </w:rPr>
      </w:pPr>
      <w:r w:rsidRPr="00466D08">
        <w:rPr>
          <w:lang w:val="ro-RO"/>
        </w:rPr>
        <w:lastRenderedPageBreak/>
        <w:t>Susţinerea de seminarii, conferinţe şi evenimente similare pentru promovarea participării în rândul tinerilor</w:t>
      </w:r>
      <w:r>
        <w:rPr>
          <w:lang w:val="ro-RO"/>
        </w:rPr>
        <w:t>;</w:t>
      </w:r>
    </w:p>
    <w:p w:rsidR="00B50A36" w:rsidRDefault="00B50A36" w:rsidP="00B12674">
      <w:pPr>
        <w:numPr>
          <w:ilvl w:val="0"/>
          <w:numId w:val="28"/>
        </w:numPr>
        <w:spacing w:after="0" w:line="240" w:lineRule="auto"/>
        <w:ind w:left="360"/>
        <w:jc w:val="both"/>
        <w:rPr>
          <w:lang w:val="ro-RO"/>
        </w:rPr>
      </w:pPr>
      <w:r w:rsidRPr="00466D08">
        <w:rPr>
          <w:lang w:val="ro-RO"/>
        </w:rPr>
        <w:t>Promovarea de modele de succes ale participării cu scopul încurajării tinerilor de a se implica în viaţa comunităţii</w:t>
      </w:r>
      <w:r>
        <w:rPr>
          <w:lang w:val="ro-RO"/>
        </w:rPr>
        <w:t>;</w:t>
      </w:r>
    </w:p>
    <w:p w:rsidR="00B50A36" w:rsidRDefault="00B50A36" w:rsidP="00B12674">
      <w:pPr>
        <w:numPr>
          <w:ilvl w:val="0"/>
          <w:numId w:val="28"/>
        </w:numPr>
        <w:spacing w:after="0" w:line="240" w:lineRule="auto"/>
        <w:ind w:left="360"/>
        <w:jc w:val="both"/>
        <w:rPr>
          <w:lang w:val="ro-RO"/>
        </w:rPr>
      </w:pPr>
      <w:r w:rsidRPr="00466D08">
        <w:rPr>
          <w:lang w:val="ro-RO"/>
        </w:rPr>
        <w:t>Prezentarea în rândul tinerilor şi al părinţilor a beneficiilor pe care le pot dobândi prin implicarea în activităţi de voluntariat, precum şi a competenţelor şi abilităţilor obţinute</w:t>
      </w:r>
      <w:r>
        <w:rPr>
          <w:lang w:val="ro-RO"/>
        </w:rPr>
        <w:t>;</w:t>
      </w:r>
    </w:p>
    <w:p w:rsidR="00B50A36" w:rsidRDefault="00B50A36" w:rsidP="00B12674">
      <w:pPr>
        <w:numPr>
          <w:ilvl w:val="0"/>
          <w:numId w:val="28"/>
        </w:numPr>
        <w:spacing w:after="0" w:line="240" w:lineRule="auto"/>
        <w:ind w:left="360"/>
        <w:jc w:val="both"/>
        <w:rPr>
          <w:lang w:val="ro-RO"/>
        </w:rPr>
      </w:pPr>
      <w:r>
        <w:rPr>
          <w:lang w:val="ro-RO"/>
        </w:rPr>
        <w:t xml:space="preserve">Premierea celor mai bune iniţiative </w:t>
      </w:r>
      <w:r w:rsidRPr="00466D08">
        <w:rPr>
          <w:lang w:val="ro-RO"/>
        </w:rPr>
        <w:t xml:space="preserve">de participare şi decizii care implică tinerii la nivel local </w:t>
      </w:r>
      <w:r>
        <w:rPr>
          <w:lang w:val="ro-RO"/>
        </w:rPr>
        <w:t>în cadrul unor c</w:t>
      </w:r>
      <w:r w:rsidRPr="00466D08">
        <w:rPr>
          <w:lang w:val="ro-RO"/>
        </w:rPr>
        <w:t>ompetiţii de proiecte</w:t>
      </w:r>
      <w:r>
        <w:rPr>
          <w:lang w:val="ro-RO"/>
        </w:rPr>
        <w:t>;</w:t>
      </w:r>
    </w:p>
    <w:p w:rsidR="00B50A36" w:rsidRDefault="00B50A36" w:rsidP="00B12674">
      <w:pPr>
        <w:numPr>
          <w:ilvl w:val="0"/>
          <w:numId w:val="28"/>
        </w:numPr>
        <w:spacing w:after="0" w:line="240" w:lineRule="auto"/>
        <w:ind w:left="360"/>
        <w:jc w:val="both"/>
        <w:rPr>
          <w:lang w:val="ro-RO"/>
        </w:rPr>
      </w:pPr>
      <w:r w:rsidRPr="00466D08">
        <w:rPr>
          <w:lang w:val="ro-RO"/>
        </w:rPr>
        <w:t>Crearea de grupuri de cercetare şi de consultare formate din tineri la nivelul comunităţii locale</w:t>
      </w:r>
      <w:r>
        <w:rPr>
          <w:lang w:val="ro-RO"/>
        </w:rPr>
        <w:t>;</w:t>
      </w:r>
    </w:p>
    <w:p w:rsidR="00B50A36" w:rsidRDefault="00B50A36" w:rsidP="00B12674">
      <w:pPr>
        <w:numPr>
          <w:ilvl w:val="0"/>
          <w:numId w:val="28"/>
        </w:numPr>
        <w:spacing w:after="0" w:line="240" w:lineRule="auto"/>
        <w:ind w:left="360"/>
        <w:jc w:val="both"/>
        <w:rPr>
          <w:lang w:val="ro-RO"/>
        </w:rPr>
      </w:pPr>
      <w:r w:rsidRPr="00466D08">
        <w:rPr>
          <w:lang w:val="ro-RO"/>
        </w:rPr>
        <w:t>Creşterea gradului de motivare a tinerilor pentru a participa la viaţa comunităţii prin implicarea în proiecte</w:t>
      </w:r>
      <w:r>
        <w:rPr>
          <w:lang w:val="ro-RO"/>
        </w:rPr>
        <w:t>;</w:t>
      </w:r>
    </w:p>
    <w:p w:rsidR="00B50A36" w:rsidRDefault="00B50A36" w:rsidP="00B12674">
      <w:pPr>
        <w:numPr>
          <w:ilvl w:val="0"/>
          <w:numId w:val="28"/>
        </w:numPr>
        <w:spacing w:after="0" w:line="240" w:lineRule="auto"/>
        <w:ind w:left="360"/>
        <w:jc w:val="both"/>
        <w:rPr>
          <w:lang w:val="ro-RO"/>
        </w:rPr>
      </w:pPr>
      <w:r w:rsidRPr="00466D08">
        <w:rPr>
          <w:lang w:val="ro-RO"/>
        </w:rPr>
        <w:t>Crearea de posibilităţi de finanţare pentru a stabili sau  a îmbunătăţi facilită</w:t>
      </w:r>
      <w:r>
        <w:rPr>
          <w:lang w:val="ro-RO"/>
        </w:rPr>
        <w:t>ţ</w:t>
      </w:r>
      <w:r w:rsidRPr="00466D08">
        <w:rPr>
          <w:lang w:val="ro-RO"/>
        </w:rPr>
        <w:t xml:space="preserve">i durabile locale </w:t>
      </w:r>
      <w:r>
        <w:rPr>
          <w:lang w:val="ro-RO"/>
        </w:rPr>
        <w:t>de</w:t>
      </w:r>
      <w:r w:rsidRPr="00466D08">
        <w:rPr>
          <w:lang w:val="ro-RO"/>
        </w:rPr>
        <w:t xml:space="preserve"> tineret</w:t>
      </w:r>
      <w:r>
        <w:rPr>
          <w:lang w:val="ro-RO"/>
        </w:rPr>
        <w:t>;</w:t>
      </w:r>
    </w:p>
    <w:p w:rsidR="00B50A36" w:rsidRDefault="00B50A36" w:rsidP="00B12674">
      <w:pPr>
        <w:numPr>
          <w:ilvl w:val="0"/>
          <w:numId w:val="28"/>
        </w:numPr>
        <w:spacing w:after="0" w:line="240" w:lineRule="auto"/>
        <w:ind w:left="360"/>
        <w:jc w:val="both"/>
        <w:rPr>
          <w:lang w:val="ro-RO"/>
        </w:rPr>
      </w:pPr>
      <w:r w:rsidRPr="00466D08">
        <w:rPr>
          <w:lang w:val="ro-RO"/>
        </w:rPr>
        <w:t>Introducerea cu caracter de continuitate a educaţiei civice în sistemul formal de educaţie</w:t>
      </w:r>
      <w:r>
        <w:rPr>
          <w:lang w:val="ro-RO"/>
        </w:rPr>
        <w:t>;</w:t>
      </w:r>
    </w:p>
    <w:p w:rsidR="00B50A36" w:rsidRDefault="00B50A36" w:rsidP="00B12674">
      <w:pPr>
        <w:numPr>
          <w:ilvl w:val="0"/>
          <w:numId w:val="28"/>
        </w:numPr>
        <w:spacing w:after="0" w:line="240" w:lineRule="auto"/>
        <w:ind w:left="360"/>
        <w:jc w:val="both"/>
        <w:rPr>
          <w:lang w:val="ro-RO"/>
        </w:rPr>
      </w:pPr>
      <w:r w:rsidRPr="00466D08">
        <w:rPr>
          <w:lang w:val="ro-RO"/>
        </w:rPr>
        <w:t>Promovarea activităţilor de interes pentru tineri şi adaptarea oportunităţilor de voluntariat grupurilor diverse de tineri</w:t>
      </w:r>
      <w:r>
        <w:rPr>
          <w:lang w:val="ro-RO"/>
        </w:rPr>
        <w:t>;</w:t>
      </w:r>
    </w:p>
    <w:p w:rsidR="00B50A36" w:rsidRDefault="00B50A36" w:rsidP="00B12674">
      <w:pPr>
        <w:numPr>
          <w:ilvl w:val="0"/>
          <w:numId w:val="28"/>
        </w:numPr>
        <w:spacing w:after="0" w:line="240" w:lineRule="auto"/>
        <w:ind w:left="360"/>
        <w:jc w:val="both"/>
        <w:rPr>
          <w:lang w:val="ro-RO"/>
        </w:rPr>
      </w:pPr>
      <w:r w:rsidRPr="00302BE6">
        <w:rPr>
          <w:lang w:val="ro-RO"/>
        </w:rPr>
        <w:t>Îmbunătăţirea procesului de reglementare și guvernare, transparenţă și accesibilitate în domeniul politici</w:t>
      </w:r>
      <w:r>
        <w:rPr>
          <w:lang w:val="ro-RO"/>
        </w:rPr>
        <w:t>i</w:t>
      </w:r>
      <w:r w:rsidRPr="00302BE6">
        <w:rPr>
          <w:lang w:val="ro-RO"/>
        </w:rPr>
        <w:t xml:space="preserve"> de tineret.</w:t>
      </w:r>
    </w:p>
    <w:p w:rsidR="00B50A36" w:rsidRDefault="00B50A36" w:rsidP="00B12674">
      <w:pPr>
        <w:numPr>
          <w:ilvl w:val="0"/>
          <w:numId w:val="28"/>
        </w:numPr>
        <w:spacing w:after="0" w:line="240" w:lineRule="auto"/>
        <w:ind w:left="360"/>
        <w:jc w:val="both"/>
        <w:rPr>
          <w:lang w:val="ro-RO"/>
        </w:rPr>
      </w:pPr>
      <w:r>
        <w:rPr>
          <w:lang w:val="ro-RO"/>
        </w:rPr>
        <w:t>Asigurarea ca managementul strategic la nivelul centrelor de tineret, caselor de cultură ale studenţilor şi al facilităţilor de timp liber pentru tineret să fie realizat preponderent de reprezentanţi ai ONGT iar conducerea executivă să fie numită exclusiv pe criterii de competenţă şi în condiţii de maximă transparenţă;</w:t>
      </w:r>
    </w:p>
    <w:p w:rsidR="00B50A36" w:rsidRDefault="00B50A36" w:rsidP="00B12674">
      <w:pPr>
        <w:numPr>
          <w:ilvl w:val="0"/>
          <w:numId w:val="28"/>
        </w:numPr>
        <w:spacing w:after="0" w:line="240" w:lineRule="auto"/>
        <w:ind w:left="360"/>
        <w:jc w:val="both"/>
        <w:rPr>
          <w:lang w:val="ro-RO"/>
        </w:rPr>
      </w:pPr>
      <w:r>
        <w:rPr>
          <w:lang w:val="ro-RO"/>
        </w:rPr>
        <w:t>C</w:t>
      </w:r>
      <w:r w:rsidRPr="00C536A1">
        <w:rPr>
          <w:lang w:val="ro-RO"/>
        </w:rPr>
        <w:t>rearea de platforme prin care tinerii s</w:t>
      </w:r>
      <w:r>
        <w:rPr>
          <w:lang w:val="ro-RO"/>
        </w:rPr>
        <w:t>ă</w:t>
      </w:r>
      <w:r w:rsidRPr="00C536A1">
        <w:rPr>
          <w:lang w:val="ro-RO"/>
        </w:rPr>
        <w:t xml:space="preserve"> poat</w:t>
      </w:r>
      <w:r>
        <w:rPr>
          <w:lang w:val="ro-RO"/>
        </w:rPr>
        <w:t>ă</w:t>
      </w:r>
      <w:r w:rsidRPr="00C536A1">
        <w:rPr>
          <w:lang w:val="ro-RO"/>
        </w:rPr>
        <w:t xml:space="preserve"> semnala cazuri de abuzuri</w:t>
      </w:r>
      <w:r>
        <w:rPr>
          <w:lang w:val="ro-RO"/>
        </w:rPr>
        <w:t>, corupţie</w:t>
      </w:r>
      <w:r w:rsidRPr="00C536A1">
        <w:rPr>
          <w:lang w:val="ro-RO"/>
        </w:rPr>
        <w:t xml:space="preserve"> </w:t>
      </w:r>
      <w:r>
        <w:rPr>
          <w:lang w:val="ro-RO"/>
        </w:rPr>
        <w:t>ş</w:t>
      </w:r>
      <w:r w:rsidRPr="00C536A1">
        <w:rPr>
          <w:lang w:val="ro-RO"/>
        </w:rPr>
        <w:t xml:space="preserve">i fraude </w:t>
      </w:r>
      <w:r>
        <w:rPr>
          <w:lang w:val="ro-RO"/>
        </w:rPr>
        <w:t>în instituţ</w:t>
      </w:r>
      <w:r w:rsidRPr="00C536A1">
        <w:rPr>
          <w:lang w:val="ro-RO"/>
        </w:rPr>
        <w:t xml:space="preserve">iile publice, </w:t>
      </w:r>
      <w:r>
        <w:rPr>
          <w:lang w:val="ro-RO"/>
        </w:rPr>
        <w:t>ş</w:t>
      </w:r>
      <w:r w:rsidRPr="00C536A1">
        <w:rPr>
          <w:lang w:val="ro-RO"/>
        </w:rPr>
        <w:t>i desf</w:t>
      </w:r>
      <w:r>
        <w:rPr>
          <w:lang w:val="ro-RO"/>
        </w:rPr>
        <w:t>ăş</w:t>
      </w:r>
      <w:r w:rsidRPr="00C536A1">
        <w:rPr>
          <w:lang w:val="ro-RO"/>
        </w:rPr>
        <w:t xml:space="preserve">urarea de campanii pentru </w:t>
      </w:r>
      <w:r>
        <w:rPr>
          <w:lang w:val="ro-RO"/>
        </w:rPr>
        <w:t>încurajarea folosirii acestora.</w:t>
      </w:r>
    </w:p>
    <w:p w:rsidR="00B50A36" w:rsidRPr="00CC2E8A" w:rsidRDefault="00B50A36" w:rsidP="00B12674">
      <w:pPr>
        <w:spacing w:after="0" w:line="240" w:lineRule="auto"/>
        <w:ind w:left="360"/>
        <w:jc w:val="both"/>
        <w:rPr>
          <w:lang w:val="ro-RO"/>
        </w:rPr>
      </w:pPr>
    </w:p>
    <w:p w:rsidR="00B50A36" w:rsidRDefault="00B50A36" w:rsidP="00B12674">
      <w:pPr>
        <w:pStyle w:val="Heading5"/>
        <w:numPr>
          <w:ilvl w:val="1"/>
          <w:numId w:val="25"/>
        </w:numPr>
        <w:jc w:val="both"/>
        <w:rPr>
          <w:rFonts w:cs="Times New Roman"/>
          <w:lang w:val="ro-RO"/>
        </w:rPr>
      </w:pPr>
      <w:r>
        <w:rPr>
          <w:lang w:val="ro-RO"/>
        </w:rPr>
        <w:t>Creşterea gradului de participare a tinerilor la viaţa politică.</w:t>
      </w:r>
    </w:p>
    <w:p w:rsidR="00B50A36" w:rsidRDefault="00B50A36" w:rsidP="00B12674">
      <w:pPr>
        <w:pStyle w:val="Heading6"/>
        <w:jc w:val="both"/>
        <w:rPr>
          <w:rFonts w:cs="Times New Roman"/>
          <w:lang w:val="ro-RO"/>
        </w:rPr>
      </w:pPr>
      <w:r w:rsidRPr="0002274F">
        <w:rPr>
          <w:lang w:val="ro-RO"/>
        </w:rPr>
        <w:t>Direcţii de acţiune:</w:t>
      </w:r>
    </w:p>
    <w:p w:rsidR="00B50A36" w:rsidRDefault="00B50A36" w:rsidP="00B12674">
      <w:pPr>
        <w:numPr>
          <w:ilvl w:val="0"/>
          <w:numId w:val="29"/>
        </w:numPr>
        <w:tabs>
          <w:tab w:val="clear" w:pos="720"/>
          <w:tab w:val="num" w:pos="360"/>
        </w:tabs>
        <w:spacing w:after="0" w:line="240" w:lineRule="auto"/>
        <w:ind w:left="360"/>
        <w:jc w:val="both"/>
        <w:rPr>
          <w:lang w:val="ro-RO"/>
        </w:rPr>
      </w:pPr>
      <w:r>
        <w:rPr>
          <w:lang w:val="ro-RO"/>
        </w:rPr>
        <w:t>I</w:t>
      </w:r>
      <w:r w:rsidRPr="00466D08">
        <w:rPr>
          <w:lang w:val="ro-RO"/>
        </w:rPr>
        <w:t>ntroducerea unor elemente de educaţie politică în curricula pentru educaţie civică din sistemul formal de educaţie</w:t>
      </w:r>
      <w:r>
        <w:rPr>
          <w:lang w:val="ro-RO"/>
        </w:rPr>
        <w:t>;</w:t>
      </w:r>
    </w:p>
    <w:p w:rsidR="00B50A36" w:rsidRDefault="00B50A36" w:rsidP="00B12674">
      <w:pPr>
        <w:numPr>
          <w:ilvl w:val="0"/>
          <w:numId w:val="29"/>
        </w:numPr>
        <w:tabs>
          <w:tab w:val="clear" w:pos="720"/>
          <w:tab w:val="num" w:pos="360"/>
        </w:tabs>
        <w:spacing w:after="0" w:line="240" w:lineRule="auto"/>
        <w:ind w:left="360"/>
        <w:jc w:val="both"/>
        <w:rPr>
          <w:lang w:val="ro-RO"/>
        </w:rPr>
      </w:pPr>
      <w:r w:rsidRPr="00466D08">
        <w:rPr>
          <w:lang w:val="ro-RO"/>
        </w:rPr>
        <w:t xml:space="preserve">Implicarea activă a organizaţiilor </w:t>
      </w:r>
      <w:r>
        <w:rPr>
          <w:sz w:val="24"/>
          <w:szCs w:val="24"/>
          <w:lang w:val="ro-RO"/>
        </w:rPr>
        <w:t>neguvernamentale de şi pentru tineret</w:t>
      </w:r>
      <w:r w:rsidRPr="00466D08">
        <w:rPr>
          <w:lang w:val="ro-RO"/>
        </w:rPr>
        <w:t xml:space="preserve"> în procesul de introducere în curricula formală a educaţiei civice şi politice</w:t>
      </w:r>
      <w:r>
        <w:rPr>
          <w:lang w:val="ro-RO"/>
        </w:rPr>
        <w:t>;</w:t>
      </w:r>
    </w:p>
    <w:p w:rsidR="00B50A36" w:rsidRDefault="00B50A36" w:rsidP="00B12674">
      <w:pPr>
        <w:numPr>
          <w:ilvl w:val="0"/>
          <w:numId w:val="29"/>
        </w:numPr>
        <w:tabs>
          <w:tab w:val="clear" w:pos="720"/>
          <w:tab w:val="num" w:pos="360"/>
        </w:tabs>
        <w:spacing w:after="0" w:line="240" w:lineRule="auto"/>
        <w:ind w:left="360"/>
        <w:jc w:val="both"/>
        <w:rPr>
          <w:lang w:val="ro-RO"/>
        </w:rPr>
      </w:pPr>
      <w:r w:rsidRPr="00466D08">
        <w:rPr>
          <w:lang w:val="ro-RO"/>
        </w:rPr>
        <w:t>Promovarea participării la vot a tinerilor, prin mass-media şi prin puncte de informare</w:t>
      </w:r>
      <w:r>
        <w:rPr>
          <w:lang w:val="ro-RO"/>
        </w:rPr>
        <w:t>;</w:t>
      </w:r>
      <w:r w:rsidRPr="00466D08">
        <w:rPr>
          <w:lang w:val="ro-RO"/>
        </w:rPr>
        <w:t xml:space="preserve"> </w:t>
      </w:r>
    </w:p>
    <w:p w:rsidR="00B50A36" w:rsidRDefault="00B50A36" w:rsidP="00B12674">
      <w:pPr>
        <w:numPr>
          <w:ilvl w:val="0"/>
          <w:numId w:val="29"/>
        </w:numPr>
        <w:tabs>
          <w:tab w:val="clear" w:pos="720"/>
          <w:tab w:val="num" w:pos="360"/>
        </w:tabs>
        <w:spacing w:after="0" w:line="240" w:lineRule="auto"/>
        <w:ind w:left="360"/>
        <w:jc w:val="both"/>
        <w:rPr>
          <w:lang w:val="ro-RO"/>
        </w:rPr>
      </w:pPr>
      <w:r w:rsidRPr="00466D08">
        <w:rPr>
          <w:lang w:val="ro-RO"/>
        </w:rPr>
        <w:t>Simplificarea procedurilor de exercitare a votului, posibilitatea de a vota la distanţă sau de a vota online</w:t>
      </w:r>
      <w:r>
        <w:rPr>
          <w:lang w:val="ro-RO"/>
        </w:rPr>
        <w:t>;</w:t>
      </w:r>
    </w:p>
    <w:p w:rsidR="00B50A36" w:rsidRDefault="00B50A36" w:rsidP="00B12674">
      <w:pPr>
        <w:numPr>
          <w:ilvl w:val="0"/>
          <w:numId w:val="29"/>
        </w:numPr>
        <w:tabs>
          <w:tab w:val="clear" w:pos="720"/>
          <w:tab w:val="num" w:pos="360"/>
        </w:tabs>
        <w:spacing w:after="0" w:line="240" w:lineRule="auto"/>
        <w:ind w:left="360"/>
        <w:jc w:val="both"/>
        <w:rPr>
          <w:lang w:val="ro-RO"/>
        </w:rPr>
      </w:pPr>
      <w:r>
        <w:rPr>
          <w:lang w:val="ro-RO"/>
        </w:rPr>
        <w:t>Asigurarea dreptului studenţilor de a vota în localitatea în care îşi au reşedinţa pe durata studiilor.</w:t>
      </w:r>
    </w:p>
    <w:p w:rsidR="00B50A36" w:rsidRDefault="00B50A36" w:rsidP="00B12674">
      <w:pPr>
        <w:numPr>
          <w:ilvl w:val="0"/>
          <w:numId w:val="29"/>
        </w:numPr>
        <w:tabs>
          <w:tab w:val="clear" w:pos="720"/>
          <w:tab w:val="num" w:pos="360"/>
        </w:tabs>
        <w:spacing w:after="0" w:line="240" w:lineRule="auto"/>
        <w:ind w:left="360"/>
        <w:jc w:val="both"/>
        <w:rPr>
          <w:sz w:val="24"/>
          <w:szCs w:val="24"/>
          <w:lang w:val="ro-RO"/>
        </w:rPr>
      </w:pPr>
      <w:r w:rsidRPr="00466D08">
        <w:rPr>
          <w:lang w:val="ro-RO"/>
        </w:rPr>
        <w:t>Stimularea  dezbaterii cu privire la reducerea vârstei de vot la 16 ani și cu privire la participarea activă a tinerilor la viaţa politică</w:t>
      </w:r>
      <w:r>
        <w:rPr>
          <w:lang w:val="ro-RO"/>
        </w:rPr>
        <w:t>;</w:t>
      </w:r>
    </w:p>
    <w:p w:rsidR="00B50A36" w:rsidRDefault="00B50A36" w:rsidP="00B12674">
      <w:pPr>
        <w:numPr>
          <w:ilvl w:val="0"/>
          <w:numId w:val="29"/>
        </w:numPr>
        <w:tabs>
          <w:tab w:val="clear" w:pos="720"/>
          <w:tab w:val="num" w:pos="360"/>
        </w:tabs>
        <w:spacing w:after="0" w:line="240" w:lineRule="auto"/>
        <w:ind w:left="360"/>
        <w:jc w:val="both"/>
        <w:rPr>
          <w:lang w:val="ro-RO"/>
        </w:rPr>
      </w:pPr>
      <w:r w:rsidRPr="00FA652A">
        <w:rPr>
          <w:noProof/>
          <w:lang w:val="ro-RO"/>
        </w:rPr>
        <w:t>Încurajarea implicării tinerilor în procese simulative de luare a deciziilor pentru a în</w:t>
      </w:r>
      <w:r>
        <w:rPr>
          <w:noProof/>
          <w:lang w:val="ro-RO"/>
        </w:rPr>
        <w:t>ţ</w:t>
      </w:r>
      <w:r w:rsidRPr="00FA652A">
        <w:rPr>
          <w:noProof/>
          <w:lang w:val="ro-RO"/>
        </w:rPr>
        <w:t>elege mecanismele democra</w:t>
      </w:r>
      <w:r>
        <w:rPr>
          <w:noProof/>
          <w:lang w:val="ro-RO"/>
        </w:rPr>
        <w:t>ţ</w:t>
      </w:r>
      <w:r w:rsidRPr="00FA652A">
        <w:rPr>
          <w:noProof/>
          <w:lang w:val="ro-RO"/>
        </w:rPr>
        <w:t>iei</w:t>
      </w:r>
      <w:r w:rsidRPr="00FA652A">
        <w:rPr>
          <w:lang w:val="ro-RO"/>
        </w:rPr>
        <w:t>.</w:t>
      </w:r>
    </w:p>
    <w:p w:rsidR="00B50A36" w:rsidRDefault="00B50A36" w:rsidP="00B12674">
      <w:pPr>
        <w:jc w:val="both"/>
        <w:rPr>
          <w:sz w:val="24"/>
          <w:szCs w:val="24"/>
          <w:lang w:val="ro-RO"/>
        </w:rPr>
      </w:pPr>
    </w:p>
    <w:p w:rsidR="00B50A36" w:rsidRDefault="00B50A36" w:rsidP="00B12674">
      <w:pPr>
        <w:pStyle w:val="Heading5"/>
        <w:numPr>
          <w:ilvl w:val="1"/>
          <w:numId w:val="25"/>
        </w:numPr>
        <w:jc w:val="both"/>
        <w:rPr>
          <w:lang w:val="ro-RO"/>
        </w:rPr>
      </w:pPr>
      <w:r>
        <w:rPr>
          <w:lang w:val="ro-RO"/>
        </w:rPr>
        <w:t xml:space="preserve">Creşterea gradului de participare a organizaţiilor </w:t>
      </w:r>
      <w:r>
        <w:rPr>
          <w:sz w:val="24"/>
          <w:szCs w:val="24"/>
          <w:lang w:val="ro-RO"/>
        </w:rPr>
        <w:t>neguvernamentale de şi pentru tineret</w:t>
      </w:r>
      <w:r w:rsidDel="00CD2143">
        <w:rPr>
          <w:lang w:val="ro-RO"/>
        </w:rPr>
        <w:t xml:space="preserve"> </w:t>
      </w:r>
      <w:r>
        <w:rPr>
          <w:lang w:val="ro-RO"/>
        </w:rPr>
        <w:t>la dialogul structurat.</w:t>
      </w:r>
    </w:p>
    <w:p w:rsidR="00B50A36" w:rsidRDefault="00B50A36" w:rsidP="00B12674">
      <w:pPr>
        <w:pStyle w:val="Heading6"/>
        <w:jc w:val="both"/>
        <w:rPr>
          <w:rFonts w:cs="Times New Roman"/>
          <w:lang w:val="ro-RO"/>
        </w:rPr>
      </w:pPr>
      <w:r w:rsidRPr="0002274F">
        <w:rPr>
          <w:lang w:val="ro-RO"/>
        </w:rPr>
        <w:t>Direcţii de acţiune:</w:t>
      </w:r>
    </w:p>
    <w:p w:rsidR="00B50A36" w:rsidRDefault="00B50A36" w:rsidP="00B12674">
      <w:pPr>
        <w:numPr>
          <w:ilvl w:val="0"/>
          <w:numId w:val="30"/>
        </w:numPr>
        <w:tabs>
          <w:tab w:val="clear" w:pos="720"/>
          <w:tab w:val="num" w:pos="360"/>
        </w:tabs>
        <w:autoSpaceDE w:val="0"/>
        <w:autoSpaceDN w:val="0"/>
        <w:adjustRightInd w:val="0"/>
        <w:spacing w:after="0" w:line="240" w:lineRule="auto"/>
        <w:ind w:left="360"/>
        <w:jc w:val="both"/>
        <w:rPr>
          <w:lang w:val="ro-RO"/>
        </w:rPr>
      </w:pPr>
      <w:r w:rsidRPr="00302BE6">
        <w:rPr>
          <w:lang w:val="ro-RO"/>
        </w:rPr>
        <w:t>Luarea de decizii transparente în domeniile în care tinerii sunt vizaţi în mod direct;</w:t>
      </w:r>
    </w:p>
    <w:p w:rsidR="00B50A36" w:rsidRDefault="00B50A36" w:rsidP="00B12674">
      <w:pPr>
        <w:numPr>
          <w:ilvl w:val="0"/>
          <w:numId w:val="30"/>
        </w:numPr>
        <w:tabs>
          <w:tab w:val="clear" w:pos="720"/>
          <w:tab w:val="num" w:pos="360"/>
        </w:tabs>
        <w:autoSpaceDE w:val="0"/>
        <w:autoSpaceDN w:val="0"/>
        <w:adjustRightInd w:val="0"/>
        <w:spacing w:after="0" w:line="240" w:lineRule="auto"/>
        <w:ind w:left="360"/>
        <w:jc w:val="both"/>
        <w:rPr>
          <w:lang w:val="ro-RO"/>
        </w:rPr>
      </w:pPr>
      <w:r w:rsidRPr="00302BE6">
        <w:rPr>
          <w:lang w:val="ro-RO"/>
        </w:rPr>
        <w:lastRenderedPageBreak/>
        <w:t>Promovarea co-managementului cu organizaţiile neguvernamentale de şi pentru tineret în implementarea programelor şi activităţilor pentru tineret;</w:t>
      </w:r>
    </w:p>
    <w:p w:rsidR="00B50A36" w:rsidRDefault="00B50A36" w:rsidP="00B12674">
      <w:pPr>
        <w:numPr>
          <w:ilvl w:val="0"/>
          <w:numId w:val="30"/>
        </w:numPr>
        <w:tabs>
          <w:tab w:val="clear" w:pos="720"/>
          <w:tab w:val="num" w:pos="360"/>
        </w:tabs>
        <w:autoSpaceDE w:val="0"/>
        <w:autoSpaceDN w:val="0"/>
        <w:adjustRightInd w:val="0"/>
        <w:spacing w:after="0" w:line="240" w:lineRule="auto"/>
        <w:ind w:left="360"/>
        <w:jc w:val="both"/>
        <w:rPr>
          <w:lang w:val="ro-RO"/>
        </w:rPr>
      </w:pPr>
      <w:r w:rsidRPr="00302BE6">
        <w:rPr>
          <w:lang w:val="ro-RO"/>
        </w:rPr>
        <w:t>Iniţierea şi instituirea unei practici a dialogului cu tinerii, în care toţi actorii pot aduce idei la a iniţia, decide, implementa și monitoriza politicile și programele de/ pentru tineret la toate nivelurile;</w:t>
      </w:r>
    </w:p>
    <w:p w:rsidR="00B50A36" w:rsidRDefault="00B50A36" w:rsidP="00B12674">
      <w:pPr>
        <w:numPr>
          <w:ilvl w:val="0"/>
          <w:numId w:val="30"/>
        </w:numPr>
        <w:tabs>
          <w:tab w:val="clear" w:pos="720"/>
          <w:tab w:val="num" w:pos="360"/>
        </w:tabs>
        <w:autoSpaceDE w:val="0"/>
        <w:autoSpaceDN w:val="0"/>
        <w:adjustRightInd w:val="0"/>
        <w:spacing w:after="0" w:line="240" w:lineRule="auto"/>
        <w:ind w:left="360"/>
        <w:jc w:val="both"/>
        <w:rPr>
          <w:lang w:val="ro-RO"/>
        </w:rPr>
      </w:pPr>
      <w:r w:rsidRPr="00302BE6">
        <w:rPr>
          <w:lang w:val="ro-RO"/>
        </w:rPr>
        <w:t>Promovarea dialogului structurat  între decidenţii la nivel politic şi societatea civilă, în vederea asigurării efective a participării tinerilor la luarea deciziilor care îi afectează.</w:t>
      </w:r>
    </w:p>
    <w:p w:rsidR="00B50A36" w:rsidRDefault="00B50A36" w:rsidP="00B12674">
      <w:pPr>
        <w:jc w:val="both"/>
        <w:rPr>
          <w:sz w:val="24"/>
          <w:szCs w:val="24"/>
          <w:lang w:val="ro-RO"/>
        </w:rPr>
      </w:pPr>
    </w:p>
    <w:p w:rsidR="00B50A36" w:rsidRDefault="00B50A36" w:rsidP="00B12674">
      <w:pPr>
        <w:pStyle w:val="Heading5"/>
        <w:numPr>
          <w:ilvl w:val="1"/>
          <w:numId w:val="25"/>
        </w:numPr>
        <w:jc w:val="both"/>
        <w:rPr>
          <w:lang w:val="ro-RO"/>
        </w:rPr>
      </w:pPr>
      <w:r>
        <w:rPr>
          <w:lang w:val="ro-RO"/>
        </w:rPr>
        <w:t>Crearea unui mediu favorabil voluntariatului în România.</w:t>
      </w:r>
    </w:p>
    <w:p w:rsidR="00B50A36" w:rsidRDefault="00B50A36" w:rsidP="00B12674">
      <w:pPr>
        <w:pStyle w:val="Heading6"/>
        <w:jc w:val="both"/>
        <w:rPr>
          <w:rFonts w:cs="Times New Roman"/>
          <w:lang w:val="ro-RO"/>
        </w:rPr>
      </w:pPr>
      <w:r w:rsidRPr="0002274F">
        <w:rPr>
          <w:lang w:val="ro-RO"/>
        </w:rPr>
        <w:t>Direcţii de acţiune:</w:t>
      </w:r>
    </w:p>
    <w:p w:rsidR="00B50A36" w:rsidRPr="000C756E" w:rsidRDefault="00B50A36" w:rsidP="00B12674">
      <w:pPr>
        <w:numPr>
          <w:ilvl w:val="0"/>
          <w:numId w:val="31"/>
        </w:numPr>
        <w:tabs>
          <w:tab w:val="clear" w:pos="720"/>
          <w:tab w:val="num" w:pos="360"/>
        </w:tabs>
        <w:spacing w:after="0" w:line="240" w:lineRule="auto"/>
        <w:ind w:left="360"/>
        <w:jc w:val="both"/>
        <w:rPr>
          <w:lang w:val="ro-RO"/>
        </w:rPr>
      </w:pPr>
      <w:r w:rsidRPr="000C756E">
        <w:rPr>
          <w:lang w:val="ro-RO"/>
        </w:rPr>
        <w:t>Asigurarea concordanţei cadrului legislativ care reglementează mişcarea de voluntariat în România,   cu directivele europene, prin îmbunătăţirea legii-cadru – Legea Voluntariatului 195/2001;</w:t>
      </w:r>
    </w:p>
    <w:p w:rsidR="00B50A36" w:rsidRDefault="00B50A36" w:rsidP="00B12674">
      <w:pPr>
        <w:numPr>
          <w:ilvl w:val="0"/>
          <w:numId w:val="31"/>
        </w:numPr>
        <w:tabs>
          <w:tab w:val="clear" w:pos="720"/>
          <w:tab w:val="num" w:pos="360"/>
        </w:tabs>
        <w:spacing w:after="0" w:line="240" w:lineRule="auto"/>
        <w:ind w:left="360"/>
        <w:jc w:val="both"/>
        <w:rPr>
          <w:lang w:val="ro-RO"/>
        </w:rPr>
      </w:pPr>
      <w:r w:rsidRPr="00CB2378">
        <w:rPr>
          <w:lang w:val="ro-RO"/>
        </w:rPr>
        <w:t xml:space="preserve">Eliminarea contradicţiilor şi armonizarea legii-cadru cu celelalte documente legislative existente (Legea Tinerilor nr. 350/2006, </w:t>
      </w:r>
      <w:r w:rsidRPr="00CB2378">
        <w:rPr>
          <w:shd w:val="clear" w:color="auto" w:fill="FFFFFF"/>
          <w:lang w:val="ro-RO"/>
        </w:rPr>
        <w:t xml:space="preserve">Legea nr. 351/2006 </w:t>
      </w:r>
      <w:r w:rsidRPr="003133BA">
        <w:rPr>
          <w:shd w:val="clear" w:color="auto" w:fill="FFFFFF"/>
          <w:lang w:val="ro-RO"/>
        </w:rPr>
        <w:t>–</w:t>
      </w:r>
      <w:r w:rsidRPr="00CB2378">
        <w:rPr>
          <w:shd w:val="clear" w:color="auto" w:fill="FFFFFF"/>
          <w:lang w:val="ro-RO"/>
        </w:rPr>
        <w:t xml:space="preserve"> privind înfiinţarea, organizarea şi funcţionarea Consiliului Naţional al Tineretului din România</w:t>
      </w:r>
      <w:r w:rsidRPr="00CB2378">
        <w:rPr>
          <w:lang w:val="ro-RO"/>
        </w:rPr>
        <w:t xml:space="preserve">, </w:t>
      </w:r>
      <w:r w:rsidRPr="00CB2378">
        <w:rPr>
          <w:shd w:val="clear" w:color="auto" w:fill="FFFFFF"/>
          <w:lang w:val="ro-RO"/>
        </w:rPr>
        <w:t xml:space="preserve">Legea nr. 146/2002 privind regimul juridic al fundaţiilor judeţene pentru tineret şi a municipiului Bucureşti şi al Fundaţiei Naţionale pentru Tineret, Legea nr. 333/2006 </w:t>
      </w:r>
      <w:r w:rsidRPr="003133BA">
        <w:rPr>
          <w:shd w:val="clear" w:color="auto" w:fill="FFFFFF"/>
          <w:lang w:val="ro-RO"/>
        </w:rPr>
        <w:t>–</w:t>
      </w:r>
      <w:r w:rsidRPr="00CB2378">
        <w:rPr>
          <w:shd w:val="clear" w:color="auto" w:fill="FFFFFF"/>
          <w:lang w:val="ro-RO"/>
        </w:rPr>
        <w:t xml:space="preserve"> privind înfiinţare</w:t>
      </w:r>
      <w:r w:rsidRPr="00DC7AF6">
        <w:rPr>
          <w:shd w:val="clear" w:color="auto" w:fill="FFFFFF"/>
          <w:lang w:val="ro-RO"/>
        </w:rPr>
        <w:t>a centrelor de informare şi consiliere pentru tineret)</w:t>
      </w:r>
      <w:r w:rsidRPr="00DC7AF6">
        <w:rPr>
          <w:lang w:val="ro-RO"/>
        </w:rPr>
        <w:t>;</w:t>
      </w:r>
    </w:p>
    <w:p w:rsidR="00B50A36" w:rsidRDefault="00B50A36" w:rsidP="00B12674">
      <w:pPr>
        <w:numPr>
          <w:ilvl w:val="0"/>
          <w:numId w:val="31"/>
        </w:numPr>
        <w:tabs>
          <w:tab w:val="clear" w:pos="720"/>
          <w:tab w:val="num" w:pos="360"/>
        </w:tabs>
        <w:spacing w:after="0" w:line="240" w:lineRule="auto"/>
        <w:ind w:left="360"/>
        <w:jc w:val="both"/>
        <w:rPr>
          <w:lang w:val="ro-RO"/>
        </w:rPr>
      </w:pPr>
      <w:r w:rsidRPr="00DC7AF6">
        <w:rPr>
          <w:lang w:val="ro-RO"/>
        </w:rPr>
        <w:t>Creşterea capacităţii organizaţiilor neguvernamentale de şi pentru tineret prin mecanisme de suport  financiar şi tehnic în vederea accesării d</w:t>
      </w:r>
      <w:r w:rsidRPr="00CB2378">
        <w:rPr>
          <w:lang w:val="ro-RO"/>
        </w:rPr>
        <w:t>e finanţări din fonduri publice naţionale, europene şi internaţionale, precum şi a asigurării continuităţii în funcţionarea acestora;</w:t>
      </w:r>
    </w:p>
    <w:p w:rsidR="00B50A36" w:rsidRDefault="00B50A36" w:rsidP="00B12674">
      <w:pPr>
        <w:numPr>
          <w:ilvl w:val="0"/>
          <w:numId w:val="31"/>
        </w:numPr>
        <w:tabs>
          <w:tab w:val="clear" w:pos="720"/>
          <w:tab w:val="num" w:pos="360"/>
        </w:tabs>
        <w:spacing w:after="0" w:line="240" w:lineRule="auto"/>
        <w:ind w:left="360"/>
        <w:jc w:val="both"/>
        <w:rPr>
          <w:lang w:val="ro-RO"/>
        </w:rPr>
      </w:pPr>
      <w:r w:rsidRPr="00CB2378">
        <w:rPr>
          <w:lang w:val="ro-RO"/>
        </w:rPr>
        <w:t>Plasarea prin legislaţie a voluntariatului ca domeniu de competenţă la nivelul insituţiilor publice centrale pentru a facilita dialogul între sectorul neguvernamental şi factorii de decizie;</w:t>
      </w:r>
    </w:p>
    <w:p w:rsidR="00B50A36" w:rsidRDefault="00B50A36" w:rsidP="00B12674">
      <w:pPr>
        <w:numPr>
          <w:ilvl w:val="0"/>
          <w:numId w:val="31"/>
        </w:numPr>
        <w:tabs>
          <w:tab w:val="clear" w:pos="720"/>
          <w:tab w:val="num" w:pos="360"/>
        </w:tabs>
        <w:spacing w:after="0" w:line="240" w:lineRule="auto"/>
        <w:ind w:left="360"/>
        <w:jc w:val="both"/>
        <w:rPr>
          <w:lang w:val="ro-RO"/>
        </w:rPr>
      </w:pPr>
      <w:r w:rsidRPr="00CB2378">
        <w:rPr>
          <w:lang w:val="ro-RO"/>
        </w:rPr>
        <w:t>Implicarea directă a sectorului de voluntariat în elaborarea politicilor publice care îl vizează, în domenii în care se desfăşoară activităţi de voluntariat;</w:t>
      </w:r>
    </w:p>
    <w:p w:rsidR="00B50A36" w:rsidRDefault="00B50A36" w:rsidP="00B12674">
      <w:pPr>
        <w:numPr>
          <w:ilvl w:val="0"/>
          <w:numId w:val="31"/>
        </w:numPr>
        <w:tabs>
          <w:tab w:val="clear" w:pos="720"/>
          <w:tab w:val="num" w:pos="360"/>
        </w:tabs>
        <w:spacing w:after="0" w:line="240" w:lineRule="auto"/>
        <w:ind w:left="360"/>
        <w:jc w:val="both"/>
        <w:rPr>
          <w:lang w:val="ro-RO"/>
        </w:rPr>
      </w:pPr>
      <w:r w:rsidRPr="00CB2378">
        <w:rPr>
          <w:lang w:val="ro-RO"/>
        </w:rPr>
        <w:t>Dezvoltarea infrastructurii pentru voluntariat prin consolidarea capacităţii tehnice, operaţionale şi financiare a organizaţiilor resursă;</w:t>
      </w:r>
    </w:p>
    <w:p w:rsidR="00B50A36" w:rsidRDefault="00B50A36" w:rsidP="00B12674">
      <w:pPr>
        <w:numPr>
          <w:ilvl w:val="0"/>
          <w:numId w:val="31"/>
        </w:numPr>
        <w:tabs>
          <w:tab w:val="clear" w:pos="720"/>
          <w:tab w:val="num" w:pos="360"/>
        </w:tabs>
        <w:spacing w:after="0" w:line="240" w:lineRule="auto"/>
        <w:ind w:left="360"/>
        <w:jc w:val="both"/>
        <w:rPr>
          <w:b/>
          <w:bCs/>
          <w:lang w:val="ro-RO"/>
        </w:rPr>
      </w:pPr>
      <w:r w:rsidRPr="00CB2378">
        <w:rPr>
          <w:lang w:val="ro-RO"/>
        </w:rPr>
        <w:t>Susţinerea programelor de asistenţă tehnică din partea or</w:t>
      </w:r>
      <w:r w:rsidRPr="00DC7AF6">
        <w:rPr>
          <w:lang w:val="ro-RO"/>
        </w:rPr>
        <w:t>ganizaţiilor resursă către alte organizaţii neguvernamentale de şi pentru tineret;</w:t>
      </w:r>
    </w:p>
    <w:p w:rsidR="00B50A36" w:rsidRDefault="00B50A36" w:rsidP="00B12674">
      <w:pPr>
        <w:numPr>
          <w:ilvl w:val="0"/>
          <w:numId w:val="31"/>
        </w:numPr>
        <w:tabs>
          <w:tab w:val="clear" w:pos="720"/>
          <w:tab w:val="num" w:pos="360"/>
        </w:tabs>
        <w:spacing w:after="0" w:line="240" w:lineRule="auto"/>
        <w:ind w:left="360"/>
        <w:jc w:val="both"/>
        <w:rPr>
          <w:b/>
          <w:bCs/>
          <w:lang w:val="ro-RO"/>
        </w:rPr>
      </w:pPr>
      <w:r>
        <w:rPr>
          <w:lang w:val="ro-RO"/>
        </w:rPr>
        <w:t>F</w:t>
      </w:r>
      <w:r w:rsidRPr="00466D08">
        <w:rPr>
          <w:lang w:val="ro-RO"/>
        </w:rPr>
        <w:t>acilitarea mobilităţii voluntarilor în spaţiul european şi internaţional</w:t>
      </w:r>
      <w:r w:rsidRPr="00DC7AF6">
        <w:rPr>
          <w:lang w:val="ro-RO"/>
        </w:rPr>
        <w:t>;</w:t>
      </w:r>
    </w:p>
    <w:p w:rsidR="00B50A36" w:rsidRDefault="00B50A36" w:rsidP="00B12674">
      <w:pPr>
        <w:numPr>
          <w:ilvl w:val="0"/>
          <w:numId w:val="31"/>
        </w:numPr>
        <w:tabs>
          <w:tab w:val="clear" w:pos="720"/>
          <w:tab w:val="num" w:pos="360"/>
        </w:tabs>
        <w:spacing w:after="0" w:line="240" w:lineRule="auto"/>
        <w:ind w:left="360"/>
        <w:jc w:val="both"/>
        <w:rPr>
          <w:b/>
          <w:bCs/>
          <w:lang w:val="ro-RO"/>
        </w:rPr>
      </w:pPr>
      <w:r w:rsidRPr="00DC7AF6">
        <w:rPr>
          <w:lang w:val="ro-RO"/>
        </w:rPr>
        <w:t>Crearea unui cadru legal pentru remunerarea formatorilor, animatorilor, lucratorilor de tineret şi a altor actori implicaţi ca persoane resursa pentru domeniul tineretului;</w:t>
      </w:r>
    </w:p>
    <w:p w:rsidR="00B50A36" w:rsidRPr="00DC7AF6" w:rsidRDefault="00B50A36" w:rsidP="00B12674">
      <w:pPr>
        <w:numPr>
          <w:ilvl w:val="0"/>
          <w:numId w:val="31"/>
        </w:numPr>
        <w:tabs>
          <w:tab w:val="clear" w:pos="720"/>
          <w:tab w:val="num" w:pos="360"/>
        </w:tabs>
        <w:spacing w:after="0" w:line="240" w:lineRule="auto"/>
        <w:ind w:left="360"/>
        <w:jc w:val="both"/>
        <w:rPr>
          <w:b/>
          <w:bCs/>
          <w:lang w:val="ro-RO"/>
        </w:rPr>
      </w:pPr>
      <w:r w:rsidRPr="00DC7AF6">
        <w:rPr>
          <w:lang w:val="ro-RO"/>
        </w:rPr>
        <w:t>Promovarea activităţii organizaţiilor n</w:t>
      </w:r>
      <w:r w:rsidRPr="00DC7AF6">
        <w:rPr>
          <w:lang w:val="it-IT"/>
        </w:rPr>
        <w:t xml:space="preserve">eguvernamentale </w:t>
      </w:r>
      <w:r w:rsidRPr="00DC7AF6">
        <w:rPr>
          <w:lang w:val="ro-RO"/>
        </w:rPr>
        <w:t>în şcoli;</w:t>
      </w:r>
    </w:p>
    <w:p w:rsidR="00B50A36" w:rsidRDefault="00B50A36" w:rsidP="00B12674">
      <w:pPr>
        <w:numPr>
          <w:ilvl w:val="0"/>
          <w:numId w:val="31"/>
        </w:numPr>
        <w:tabs>
          <w:tab w:val="clear" w:pos="720"/>
          <w:tab w:val="num" w:pos="360"/>
        </w:tabs>
        <w:spacing w:after="0" w:line="240" w:lineRule="auto"/>
        <w:ind w:left="360"/>
        <w:jc w:val="both"/>
        <w:rPr>
          <w:b/>
          <w:bCs/>
          <w:lang w:val="ro-RO"/>
        </w:rPr>
      </w:pPr>
      <w:r w:rsidRPr="00DC7AF6">
        <w:rPr>
          <w:lang w:val="ro-RO"/>
        </w:rPr>
        <w:t xml:space="preserve">Simplificarea procedurii de accesare şi de decontare a cheltuielilor pe proiecte, inclusiv </w:t>
      </w:r>
      <w:r>
        <w:rPr>
          <w:lang w:val="ro-RO"/>
        </w:rPr>
        <w:t>recunoaşterea eligibilităţii unor cheltuieli inerente acestora, precum</w:t>
      </w:r>
      <w:r w:rsidRPr="00DC7AF6">
        <w:rPr>
          <w:lang w:val="ro-RO"/>
        </w:rPr>
        <w:t xml:space="preserve">: </w:t>
      </w:r>
      <w:r>
        <w:rPr>
          <w:lang w:val="ro-RO"/>
        </w:rPr>
        <w:t>remunerarea echipei</w:t>
      </w:r>
      <w:r w:rsidRPr="00DC7AF6">
        <w:rPr>
          <w:lang w:val="ro-RO"/>
        </w:rPr>
        <w:t xml:space="preserve"> de management</w:t>
      </w:r>
      <w:r>
        <w:rPr>
          <w:lang w:val="ro-RO"/>
        </w:rPr>
        <w:t xml:space="preserve"> de proiect</w:t>
      </w:r>
      <w:r w:rsidRPr="00DC7AF6">
        <w:rPr>
          <w:lang w:val="ro-RO"/>
        </w:rPr>
        <w:t>,  chirie</w:t>
      </w:r>
      <w:r>
        <w:rPr>
          <w:lang w:val="ro-RO"/>
        </w:rPr>
        <w:t xml:space="preserve"> spaţ</w:t>
      </w:r>
      <w:r w:rsidRPr="00DC7AF6">
        <w:rPr>
          <w:lang w:val="ro-RO"/>
        </w:rPr>
        <w:t>ii</w:t>
      </w:r>
      <w:r>
        <w:rPr>
          <w:lang w:val="ro-RO"/>
        </w:rPr>
        <w:t>, cheltuieli administrative etc.</w:t>
      </w:r>
    </w:p>
    <w:p w:rsidR="00B50A36" w:rsidRDefault="00B50A36" w:rsidP="00B12674">
      <w:pPr>
        <w:spacing w:after="0" w:line="240" w:lineRule="auto"/>
        <w:ind w:left="360"/>
        <w:jc w:val="both"/>
        <w:rPr>
          <w:b/>
          <w:bCs/>
          <w:sz w:val="24"/>
          <w:szCs w:val="24"/>
          <w:lang w:val="ro-RO"/>
        </w:rPr>
      </w:pPr>
    </w:p>
    <w:p w:rsidR="00B50A36" w:rsidRDefault="00B50A36" w:rsidP="00B12674">
      <w:pPr>
        <w:pStyle w:val="Heading5"/>
        <w:numPr>
          <w:ilvl w:val="1"/>
          <w:numId w:val="25"/>
        </w:numPr>
        <w:jc w:val="both"/>
        <w:rPr>
          <w:lang w:val="ro-RO"/>
        </w:rPr>
      </w:pPr>
      <w:r>
        <w:rPr>
          <w:lang w:val="ro-RO"/>
        </w:rPr>
        <w:t>Îmbunătăţirea sistemului de atestare şi recunoaştere publică a activităţii de voluntariat.</w:t>
      </w:r>
    </w:p>
    <w:p w:rsidR="00B50A36" w:rsidRDefault="00B50A36" w:rsidP="00B12674">
      <w:pPr>
        <w:pStyle w:val="Heading6"/>
        <w:jc w:val="both"/>
        <w:rPr>
          <w:rFonts w:cs="Times New Roman"/>
          <w:lang w:val="ro-RO"/>
        </w:rPr>
      </w:pPr>
      <w:r w:rsidRPr="0002274F">
        <w:rPr>
          <w:lang w:val="ro-RO"/>
        </w:rPr>
        <w:t>Direcţii de acţiune:</w:t>
      </w:r>
    </w:p>
    <w:p w:rsidR="00B50A36" w:rsidRDefault="00B50A36" w:rsidP="00B12674">
      <w:pPr>
        <w:numPr>
          <w:ilvl w:val="0"/>
          <w:numId w:val="32"/>
        </w:numPr>
        <w:tabs>
          <w:tab w:val="clear" w:pos="720"/>
        </w:tabs>
        <w:spacing w:after="0" w:line="240" w:lineRule="auto"/>
        <w:ind w:left="360"/>
        <w:jc w:val="both"/>
        <w:rPr>
          <w:lang w:val="ro-RO"/>
        </w:rPr>
      </w:pPr>
      <w:r w:rsidRPr="00466D08">
        <w:rPr>
          <w:lang w:val="ro-RO"/>
        </w:rPr>
        <w:t>Crearea şi implementarea unui sistem de recunoaştere a competenţelor dobândite prin voluntariat, pe baza Cadrului Naţional al Calificărilor şi Cadrului European al Calificărilor pentr</w:t>
      </w:r>
      <w:r>
        <w:rPr>
          <w:lang w:val="ro-RO"/>
        </w:rPr>
        <w:t>u învăţarea de-a lungul vieţii</w:t>
      </w:r>
      <w:r w:rsidRPr="004813AC">
        <w:rPr>
          <w:lang w:val="ro-RO"/>
        </w:rPr>
        <w:t>;</w:t>
      </w:r>
    </w:p>
    <w:p w:rsidR="00B50A36" w:rsidRDefault="00B50A36" w:rsidP="00B12674">
      <w:pPr>
        <w:numPr>
          <w:ilvl w:val="0"/>
          <w:numId w:val="32"/>
        </w:numPr>
        <w:tabs>
          <w:tab w:val="clear" w:pos="720"/>
        </w:tabs>
        <w:spacing w:after="0" w:line="240" w:lineRule="auto"/>
        <w:ind w:left="360"/>
        <w:jc w:val="both"/>
        <w:rPr>
          <w:lang w:val="ro-RO"/>
        </w:rPr>
      </w:pPr>
      <w:r w:rsidRPr="00466D08">
        <w:rPr>
          <w:lang w:val="ro-RO"/>
        </w:rPr>
        <w:t>Adoptarea şi implementarea Manualului pentru măsurarea muncii de voluntariat creat de Organizaţ</w:t>
      </w:r>
      <w:r>
        <w:rPr>
          <w:lang w:val="ro-RO"/>
        </w:rPr>
        <w:t>i</w:t>
      </w:r>
      <w:r w:rsidRPr="00466D08">
        <w:rPr>
          <w:lang w:val="ro-RO"/>
        </w:rPr>
        <w:t>a Internaţională a Muncii în vederea colectării de date statistice valide şi măsurabile cu privire la dimensiunea şi dinamica activităţii de voluntariat din România</w:t>
      </w:r>
      <w:r w:rsidRPr="004813AC">
        <w:rPr>
          <w:lang w:val="ro-RO"/>
        </w:rPr>
        <w:t>;</w:t>
      </w:r>
    </w:p>
    <w:p w:rsidR="00B50A36" w:rsidRDefault="00B50A36" w:rsidP="00B12674">
      <w:pPr>
        <w:numPr>
          <w:ilvl w:val="0"/>
          <w:numId w:val="32"/>
        </w:numPr>
        <w:tabs>
          <w:tab w:val="clear" w:pos="720"/>
        </w:tabs>
        <w:spacing w:after="0" w:line="240" w:lineRule="auto"/>
        <w:ind w:left="360"/>
        <w:jc w:val="both"/>
        <w:rPr>
          <w:lang w:val="ro-RO"/>
        </w:rPr>
      </w:pPr>
      <w:r>
        <w:rPr>
          <w:lang w:val="ro-RO"/>
        </w:rPr>
        <w:t>Încurajarea</w:t>
      </w:r>
      <w:r w:rsidRPr="00466D08">
        <w:rPr>
          <w:lang w:val="ro-RO"/>
        </w:rPr>
        <w:t xml:space="preserve"> grupurilor informale ca promotori ai voluntariatului</w:t>
      </w:r>
      <w:r w:rsidRPr="004813AC">
        <w:rPr>
          <w:lang w:val="ro-RO"/>
        </w:rPr>
        <w:t>;</w:t>
      </w:r>
    </w:p>
    <w:p w:rsidR="00B50A36" w:rsidRDefault="00B50A36" w:rsidP="00B12674">
      <w:pPr>
        <w:jc w:val="both"/>
        <w:rPr>
          <w:sz w:val="24"/>
          <w:szCs w:val="24"/>
          <w:lang w:val="ro-RO"/>
        </w:rPr>
      </w:pPr>
    </w:p>
    <w:p w:rsidR="00B50A36" w:rsidRDefault="00B50A36" w:rsidP="00B12674">
      <w:pPr>
        <w:pStyle w:val="Heading5"/>
        <w:numPr>
          <w:ilvl w:val="1"/>
          <w:numId w:val="25"/>
        </w:numPr>
        <w:jc w:val="both"/>
        <w:rPr>
          <w:lang w:val="ro-RO"/>
        </w:rPr>
      </w:pPr>
      <w:r>
        <w:rPr>
          <w:lang w:val="ro-RO"/>
        </w:rPr>
        <w:t>Creşterea gradului de sensibilizare a opiniei publice cu privire la importanţa implicării în activităţi de voluntariat.</w:t>
      </w:r>
    </w:p>
    <w:p w:rsidR="00B50A36" w:rsidRDefault="00B50A36" w:rsidP="00B12674">
      <w:pPr>
        <w:spacing w:after="0" w:line="240" w:lineRule="auto"/>
        <w:jc w:val="both"/>
        <w:rPr>
          <w:sz w:val="24"/>
          <w:szCs w:val="24"/>
          <w:lang w:val="ro-RO"/>
        </w:rPr>
      </w:pPr>
    </w:p>
    <w:p w:rsidR="00B50A36" w:rsidRDefault="00B50A36" w:rsidP="00B12674">
      <w:pPr>
        <w:pStyle w:val="Heading6"/>
        <w:jc w:val="both"/>
        <w:rPr>
          <w:rFonts w:cs="Times New Roman"/>
          <w:lang w:val="ro-RO"/>
        </w:rPr>
      </w:pPr>
      <w:r w:rsidRPr="0002274F">
        <w:rPr>
          <w:lang w:val="ro-RO"/>
        </w:rPr>
        <w:t>Direcţii de acţiune:</w:t>
      </w:r>
    </w:p>
    <w:p w:rsidR="00B50A36" w:rsidRDefault="00C76ED0" w:rsidP="00B12674">
      <w:pPr>
        <w:numPr>
          <w:ilvl w:val="0"/>
          <w:numId w:val="33"/>
        </w:numPr>
        <w:tabs>
          <w:tab w:val="clear" w:pos="1080"/>
        </w:tabs>
        <w:spacing w:after="0" w:line="240" w:lineRule="auto"/>
        <w:ind w:left="360"/>
        <w:jc w:val="both"/>
        <w:rPr>
          <w:lang w:val="ro-RO"/>
        </w:rPr>
      </w:pPr>
      <w:r>
        <w:rPr>
          <w:lang w:val="ro-RO"/>
        </w:rPr>
        <w:t>P</w:t>
      </w:r>
      <w:r w:rsidR="00B50A36" w:rsidRPr="00466D08">
        <w:rPr>
          <w:lang w:val="ro-RO"/>
        </w:rPr>
        <w:t>romovarea voluntariatului ca valoare esenţială a societăţii şi ca valoare adăugată pentru individ şi societate</w:t>
      </w:r>
      <w:r w:rsidR="00B50A36" w:rsidRPr="004813AC">
        <w:rPr>
          <w:lang w:val="ro-RO"/>
        </w:rPr>
        <w:t>;</w:t>
      </w:r>
    </w:p>
    <w:p w:rsidR="00B50A36" w:rsidRDefault="00B50A36" w:rsidP="00B12674">
      <w:pPr>
        <w:numPr>
          <w:ilvl w:val="0"/>
          <w:numId w:val="33"/>
        </w:numPr>
        <w:tabs>
          <w:tab w:val="clear" w:pos="1080"/>
        </w:tabs>
        <w:spacing w:after="0" w:line="240" w:lineRule="auto"/>
        <w:ind w:left="360"/>
        <w:jc w:val="both"/>
        <w:rPr>
          <w:lang w:val="ro-RO"/>
        </w:rPr>
      </w:pPr>
      <w:r w:rsidRPr="00DC7AF6">
        <w:rPr>
          <w:lang w:val="ro-RO"/>
        </w:rPr>
        <w:t>Acceptarea voluntariatului ca promotor al solidarităţii între generaţii;</w:t>
      </w:r>
    </w:p>
    <w:p w:rsidR="00B50A36" w:rsidRDefault="00B50A36" w:rsidP="00B12674">
      <w:pPr>
        <w:numPr>
          <w:ilvl w:val="0"/>
          <w:numId w:val="33"/>
        </w:numPr>
        <w:tabs>
          <w:tab w:val="clear" w:pos="1080"/>
        </w:tabs>
        <w:spacing w:after="0" w:line="240" w:lineRule="auto"/>
        <w:ind w:left="360"/>
        <w:jc w:val="both"/>
        <w:rPr>
          <w:lang w:val="ro-RO"/>
        </w:rPr>
      </w:pPr>
      <w:r w:rsidRPr="00DC7AF6">
        <w:rPr>
          <w:lang w:val="ro-RO"/>
        </w:rPr>
        <w:t>Crearea de mecanisme de promovare a activităţilor şi proiectelor derulate de organizaţiile neguvernamentale de şi pentru tineret în rândul comunităţii;</w:t>
      </w:r>
    </w:p>
    <w:p w:rsidR="00B50A36" w:rsidRDefault="00B50A36" w:rsidP="00B12674">
      <w:pPr>
        <w:numPr>
          <w:ilvl w:val="0"/>
          <w:numId w:val="33"/>
        </w:numPr>
        <w:tabs>
          <w:tab w:val="clear" w:pos="1080"/>
        </w:tabs>
        <w:spacing w:after="0" w:line="240" w:lineRule="auto"/>
        <w:ind w:left="360"/>
        <w:jc w:val="both"/>
        <w:rPr>
          <w:lang w:val="ro-RO"/>
        </w:rPr>
      </w:pPr>
      <w:r w:rsidRPr="00DC7AF6">
        <w:rPr>
          <w:lang w:val="ro-RO"/>
        </w:rPr>
        <w:t>Identificarea de instrumente pentru a atrage implicarea mass-media în promovarea voluntariatului şi participării civice;</w:t>
      </w:r>
    </w:p>
    <w:p w:rsidR="00DF75C3" w:rsidRDefault="00B50A36" w:rsidP="00B12674">
      <w:pPr>
        <w:numPr>
          <w:ilvl w:val="0"/>
          <w:numId w:val="33"/>
        </w:numPr>
        <w:tabs>
          <w:tab w:val="clear" w:pos="1080"/>
        </w:tabs>
        <w:spacing w:after="0" w:line="240" w:lineRule="auto"/>
        <w:ind w:left="360"/>
        <w:jc w:val="both"/>
        <w:rPr>
          <w:lang w:val="ro-RO"/>
        </w:rPr>
      </w:pPr>
      <w:r w:rsidRPr="00DC7AF6">
        <w:rPr>
          <w:lang w:val="ro-RO"/>
        </w:rPr>
        <w:t>Realizarea de studii şi cercetări cu privire la domeniile de implicare voluntară şi cu privire la situaţia mediului de</w:t>
      </w:r>
      <w:r w:rsidRPr="00466D08">
        <w:rPr>
          <w:lang w:val="ro-RO"/>
        </w:rPr>
        <w:t xml:space="preserve"> voluntariat în România</w:t>
      </w:r>
      <w:r w:rsidRPr="004813AC">
        <w:rPr>
          <w:lang w:val="ro-RO"/>
        </w:rPr>
        <w:t>;</w:t>
      </w:r>
    </w:p>
    <w:p w:rsidR="00DF75C3" w:rsidRDefault="00DF75C3" w:rsidP="00DF75C3">
      <w:pPr>
        <w:spacing w:after="0" w:line="240" w:lineRule="auto"/>
        <w:jc w:val="both"/>
        <w:rPr>
          <w:lang w:val="ro-RO"/>
        </w:rPr>
      </w:pPr>
    </w:p>
    <w:p w:rsidR="00DF75C3" w:rsidRDefault="00DF75C3" w:rsidP="00DF75C3">
      <w:pPr>
        <w:spacing w:after="0" w:line="240" w:lineRule="auto"/>
        <w:jc w:val="both"/>
        <w:rPr>
          <w:lang w:val="ro-RO"/>
        </w:rPr>
      </w:pPr>
    </w:p>
    <w:p w:rsidR="00DF75C3" w:rsidRDefault="00DF75C3" w:rsidP="00DF75C3">
      <w:pPr>
        <w:spacing w:after="0" w:line="240" w:lineRule="auto"/>
        <w:jc w:val="both"/>
        <w:rPr>
          <w:lang w:val="ro-RO"/>
        </w:rPr>
      </w:pPr>
    </w:p>
    <w:p w:rsidR="00B50A36" w:rsidRPr="00F473EE" w:rsidRDefault="00B50A36" w:rsidP="00B12674">
      <w:pPr>
        <w:pStyle w:val="Heading2"/>
        <w:numPr>
          <w:ilvl w:val="0"/>
          <w:numId w:val="25"/>
        </w:numPr>
        <w:jc w:val="both"/>
        <w:rPr>
          <w:rFonts w:cs="Times New Roman"/>
          <w:lang w:val="ro-RO"/>
        </w:rPr>
      </w:pPr>
      <w:bookmarkStart w:id="87" w:name="_Toc370211880"/>
      <w:r>
        <w:rPr>
          <w:lang w:val="ro-RO"/>
        </w:rPr>
        <w:t>Muncă şi</w:t>
      </w:r>
      <w:r w:rsidRPr="00777389">
        <w:rPr>
          <w:lang w:val="ro-RO"/>
        </w:rPr>
        <w:t xml:space="preserve"> Antreprenoriat</w:t>
      </w:r>
      <w:bookmarkEnd w:id="87"/>
    </w:p>
    <w:p w:rsidR="00B50A36" w:rsidRPr="00F473EE" w:rsidRDefault="00B50A36" w:rsidP="00B12674">
      <w:pPr>
        <w:pStyle w:val="ColorfulList-Accent11"/>
        <w:jc w:val="both"/>
        <w:rPr>
          <w:sz w:val="24"/>
          <w:szCs w:val="24"/>
          <w:lang w:val="ro-RO"/>
        </w:rPr>
      </w:pPr>
    </w:p>
    <w:p w:rsidR="00B50A36" w:rsidRPr="00EF6DE0" w:rsidRDefault="00B50A36" w:rsidP="00B12674">
      <w:pPr>
        <w:pStyle w:val="Heading3"/>
        <w:numPr>
          <w:ilvl w:val="1"/>
          <w:numId w:val="25"/>
        </w:numPr>
        <w:jc w:val="both"/>
        <w:rPr>
          <w:rFonts w:cs="Times New Roman"/>
          <w:lang w:val="ro-RO"/>
        </w:rPr>
      </w:pPr>
      <w:bookmarkStart w:id="88" w:name="_Toc370211881"/>
      <w:r>
        <w:rPr>
          <w:lang w:val="ro-RO"/>
        </w:rPr>
        <w:t>Muncă</w:t>
      </w:r>
      <w:bookmarkEnd w:id="88"/>
    </w:p>
    <w:p w:rsidR="00B50A36" w:rsidRPr="00D46AE7" w:rsidRDefault="00B50A36" w:rsidP="00B12674">
      <w:pPr>
        <w:pStyle w:val="Heading4"/>
        <w:jc w:val="both"/>
        <w:rPr>
          <w:rFonts w:cs="Times New Roman"/>
          <w:lang w:val="ro-RO"/>
        </w:rPr>
      </w:pPr>
      <w:r w:rsidRPr="00D46AE7">
        <w:rPr>
          <w:lang w:val="ro-RO"/>
        </w:rPr>
        <w:t>Obiective specifice şi direcţii de acţiune</w:t>
      </w:r>
    </w:p>
    <w:p w:rsidR="00B50A36" w:rsidRPr="00D46AE7" w:rsidRDefault="00B50A36" w:rsidP="00B12674">
      <w:pPr>
        <w:pStyle w:val="Heading5"/>
        <w:numPr>
          <w:ilvl w:val="2"/>
          <w:numId w:val="25"/>
        </w:numPr>
        <w:jc w:val="both"/>
        <w:rPr>
          <w:rFonts w:cs="Times New Roman"/>
          <w:lang w:val="ro-RO"/>
        </w:rPr>
      </w:pPr>
      <w:r>
        <w:rPr>
          <w:lang w:val="ro-RO"/>
        </w:rPr>
        <w:t xml:space="preserve"> Creşterea ratei de ocupare a forţei de muncã tinere, cu focalizare pe grupele de vârstã 15-24 ani şi 25-29 ani.</w:t>
      </w:r>
    </w:p>
    <w:p w:rsidR="00B50A36" w:rsidRDefault="00B50A36" w:rsidP="00B12674">
      <w:pPr>
        <w:pStyle w:val="Heading6"/>
        <w:jc w:val="both"/>
        <w:rPr>
          <w:rFonts w:cs="Times New Roman"/>
          <w:lang w:val="ro-RO"/>
        </w:rPr>
      </w:pPr>
      <w:r w:rsidRPr="00CB2378">
        <w:rPr>
          <w:lang w:val="ro-RO"/>
        </w:rPr>
        <w:t>Direcţii de acţiune:</w:t>
      </w:r>
    </w:p>
    <w:p w:rsidR="00B50A36" w:rsidRPr="00D46AE7" w:rsidRDefault="00B50A36" w:rsidP="00B12674">
      <w:pPr>
        <w:pStyle w:val="ColorfulList-Accent11"/>
        <w:numPr>
          <w:ilvl w:val="0"/>
          <w:numId w:val="4"/>
        </w:numPr>
        <w:ind w:left="360"/>
        <w:jc w:val="both"/>
        <w:rPr>
          <w:lang w:val="ro-RO"/>
        </w:rPr>
      </w:pPr>
      <w:r w:rsidRPr="00CB2378">
        <w:rPr>
          <w:lang w:val="ro-RO"/>
        </w:rPr>
        <w:t>Elaborarea şi implementarea unor scheme de de stimulente financiare pentru angajare şi instruire, acordate întreprinderilor care angajeză şi pregătesc în meserii cerute pe piaţa muncii tineri fără calificare sau cu nivel scăzut de calificare;</w:t>
      </w:r>
    </w:p>
    <w:p w:rsidR="00B50A36" w:rsidRPr="00D46AE7" w:rsidRDefault="00B50A36" w:rsidP="00B12674">
      <w:pPr>
        <w:pStyle w:val="ColorfulList-Accent11"/>
        <w:numPr>
          <w:ilvl w:val="0"/>
          <w:numId w:val="4"/>
        </w:numPr>
        <w:ind w:left="360"/>
        <w:jc w:val="both"/>
        <w:rPr>
          <w:lang w:val="ro-RO"/>
        </w:rPr>
      </w:pPr>
      <w:r>
        <w:rPr>
          <w:lang w:val="ro-RO"/>
        </w:rPr>
        <w:t>Asigurarea de f</w:t>
      </w:r>
      <w:r w:rsidRPr="00CB2378">
        <w:rPr>
          <w:lang w:val="ro-RO"/>
        </w:rPr>
        <w:t xml:space="preserve">acilităţi fiscale pentru crearea de locuri de muncă: </w:t>
      </w:r>
      <w:r>
        <w:rPr>
          <w:lang w:val="ro-RO"/>
        </w:rPr>
        <w:t>s</w:t>
      </w:r>
      <w:r w:rsidRPr="00CB2378">
        <w:rPr>
          <w:lang w:val="ro-RO"/>
        </w:rPr>
        <w:t xml:space="preserve">cutirea (suportarea de la </w:t>
      </w:r>
      <w:r>
        <w:rPr>
          <w:lang w:val="ro-RO"/>
        </w:rPr>
        <w:t>b</w:t>
      </w:r>
      <w:r w:rsidRPr="00CB2378">
        <w:rPr>
          <w:lang w:val="ro-RO"/>
        </w:rPr>
        <w:t>ugetul de stat), pentru o perioadă de 1 an, a contribuţiilor sociale datorate de angajatori în cazul angajării cu contract de muncă pentru o durată cel puţin egală cu 2 ani, a tinerilor cu vârsta sub 25 de ani;</w:t>
      </w:r>
    </w:p>
    <w:p w:rsidR="00B50A36" w:rsidRPr="00D46AE7" w:rsidRDefault="00B50A36" w:rsidP="00B12674">
      <w:pPr>
        <w:pStyle w:val="ColorfulList-Accent11"/>
        <w:numPr>
          <w:ilvl w:val="0"/>
          <w:numId w:val="4"/>
        </w:numPr>
        <w:ind w:left="360"/>
        <w:jc w:val="both"/>
        <w:rPr>
          <w:lang w:val="ro-RO"/>
        </w:rPr>
      </w:pPr>
      <w:r w:rsidRPr="00CB2378">
        <w:rPr>
          <w:lang w:val="ro-RO"/>
        </w:rPr>
        <w:t>Elaborarea şi punerea în aplicare a unui plan na</w:t>
      </w:r>
      <w:r>
        <w:rPr>
          <w:lang w:val="ro-RO"/>
        </w:rPr>
        <w:t>ţ</w:t>
      </w:r>
      <w:r w:rsidRPr="00CB2378">
        <w:rPr>
          <w:lang w:val="ro-RO"/>
        </w:rPr>
        <w:t>ional pentru ocuparea tinerilor</w:t>
      </w:r>
      <w:r w:rsidR="00C76ED0">
        <w:rPr>
          <w:lang w:val="ro-RO"/>
        </w:rPr>
        <w:t xml:space="preserve"> pentru perioada 2014-2020,</w:t>
      </w:r>
      <w:r w:rsidRPr="00CB2378">
        <w:rPr>
          <w:lang w:val="ro-RO"/>
        </w:rPr>
        <w:t xml:space="preserve"> adopt</w:t>
      </w:r>
      <w:r>
        <w:rPr>
          <w:lang w:val="ro-RO"/>
        </w:rPr>
        <w:t>area</w:t>
      </w:r>
      <w:r w:rsidRPr="00CB2378">
        <w:rPr>
          <w:lang w:val="ro-RO"/>
        </w:rPr>
        <w:t xml:space="preserve"> legisla</w:t>
      </w:r>
      <w:r>
        <w:rPr>
          <w:lang w:val="ro-RO"/>
        </w:rPr>
        <w:t>ţ</w:t>
      </w:r>
      <w:r w:rsidRPr="00CB2378">
        <w:rPr>
          <w:lang w:val="ro-RO"/>
        </w:rPr>
        <w:t>i</w:t>
      </w:r>
      <w:r>
        <w:rPr>
          <w:lang w:val="ro-RO"/>
        </w:rPr>
        <w:t>ei încă necesare</w:t>
      </w:r>
      <w:r w:rsidRPr="00CB2378">
        <w:rPr>
          <w:lang w:val="ro-RO"/>
        </w:rPr>
        <w:t xml:space="preserve"> </w:t>
      </w:r>
      <w:r w:rsidRPr="003133BA">
        <w:rPr>
          <w:lang w:val="ro-RO"/>
        </w:rPr>
        <w:t>ș</w:t>
      </w:r>
      <w:r w:rsidRPr="00CB2378">
        <w:rPr>
          <w:lang w:val="ro-RO"/>
        </w:rPr>
        <w:t>i asigur</w:t>
      </w:r>
      <w:r>
        <w:rPr>
          <w:lang w:val="ro-RO"/>
        </w:rPr>
        <w:t>area</w:t>
      </w:r>
      <w:r w:rsidRPr="00CB2378">
        <w:rPr>
          <w:lang w:val="ro-RO"/>
        </w:rPr>
        <w:t xml:space="preserve"> creşter</w:t>
      </w:r>
      <w:r>
        <w:rPr>
          <w:lang w:val="ro-RO"/>
        </w:rPr>
        <w:t>ii</w:t>
      </w:r>
      <w:r w:rsidRPr="00CB2378">
        <w:rPr>
          <w:lang w:val="ro-RO"/>
        </w:rPr>
        <w:t xml:space="preserve"> calităţii politicilor active pe pia</w:t>
      </w:r>
      <w:r>
        <w:rPr>
          <w:lang w:val="ro-RO"/>
        </w:rPr>
        <w:t>ţ</w:t>
      </w:r>
      <w:r w:rsidRPr="00CB2378">
        <w:rPr>
          <w:lang w:val="ro-RO"/>
        </w:rPr>
        <w:t>a for</w:t>
      </w:r>
      <w:r>
        <w:rPr>
          <w:lang w:val="ro-RO"/>
        </w:rPr>
        <w:t>ţ</w:t>
      </w:r>
      <w:r w:rsidRPr="00CB2378">
        <w:rPr>
          <w:lang w:val="ro-RO"/>
        </w:rPr>
        <w:t xml:space="preserve">ei de muncă </w:t>
      </w:r>
      <w:r w:rsidRPr="003133BA">
        <w:rPr>
          <w:lang w:val="ro-RO"/>
        </w:rPr>
        <w:t>ș</w:t>
      </w:r>
      <w:r w:rsidRPr="00CB2378">
        <w:rPr>
          <w:lang w:val="ro-RO"/>
        </w:rPr>
        <w:t xml:space="preserve">i legătura </w:t>
      </w:r>
      <w:r>
        <w:rPr>
          <w:lang w:val="ro-RO"/>
        </w:rPr>
        <w:t xml:space="preserve">acestora </w:t>
      </w:r>
      <w:r w:rsidRPr="00CB2378">
        <w:rPr>
          <w:lang w:val="ro-RO"/>
        </w:rPr>
        <w:t>cu măsuri de activare;</w:t>
      </w:r>
    </w:p>
    <w:p w:rsidR="00B50A36" w:rsidRPr="00F73EF8" w:rsidRDefault="00B50A36" w:rsidP="00B12674">
      <w:pPr>
        <w:pStyle w:val="ColorfulList-Accent11"/>
        <w:numPr>
          <w:ilvl w:val="0"/>
          <w:numId w:val="4"/>
        </w:numPr>
        <w:ind w:left="360"/>
        <w:jc w:val="both"/>
        <w:rPr>
          <w:lang w:val="ro-RO"/>
        </w:rPr>
      </w:pPr>
      <w:r w:rsidRPr="00CB2378">
        <w:rPr>
          <w:lang w:val="ro-RO"/>
        </w:rPr>
        <w:t>Măsurile active pe pia</w:t>
      </w:r>
      <w:r>
        <w:rPr>
          <w:lang w:val="ro-RO"/>
        </w:rPr>
        <w:t>ţ</w:t>
      </w:r>
      <w:r w:rsidRPr="00CB2378">
        <w:rPr>
          <w:lang w:val="ro-RO"/>
        </w:rPr>
        <w:t>a for</w:t>
      </w:r>
      <w:r>
        <w:rPr>
          <w:lang w:val="ro-RO"/>
        </w:rPr>
        <w:t>ţ</w:t>
      </w:r>
      <w:r w:rsidRPr="00CB2378">
        <w:rPr>
          <w:lang w:val="ro-RO"/>
        </w:rPr>
        <w:t>ei de muncă vor acorda o atenţie specială regiunilor/zonelor cu excluziune ocupaţională rid</w:t>
      </w:r>
      <w:r w:rsidRPr="00F73EF8">
        <w:rPr>
          <w:lang w:val="ro-RO"/>
        </w:rPr>
        <w:t>icată în rândul tinerilor;</w:t>
      </w:r>
    </w:p>
    <w:p w:rsidR="00B50A36" w:rsidRPr="00F73EF8" w:rsidRDefault="00B50A36" w:rsidP="00B12674">
      <w:pPr>
        <w:pStyle w:val="ColorfulList-Accent11"/>
        <w:numPr>
          <w:ilvl w:val="0"/>
          <w:numId w:val="4"/>
        </w:numPr>
        <w:ind w:left="360"/>
        <w:jc w:val="both"/>
        <w:rPr>
          <w:lang w:val="ro-RO"/>
        </w:rPr>
      </w:pPr>
      <w:r w:rsidRPr="00F73EF8">
        <w:rPr>
          <w:lang w:val="ro-RO"/>
        </w:rPr>
        <w:lastRenderedPageBreak/>
        <w:t>Realizarea de investiţii publice în protecţia mediului în vederea creării de noi pieţe, potenţial disponibile IMM-urilor și întreprinderilor sociale create/gestionate de tineri, mai ales în regiunile mai puţin dezvoltare și în zonele rurale ale României;</w:t>
      </w:r>
    </w:p>
    <w:p w:rsidR="00B50A36" w:rsidRDefault="00B50A36" w:rsidP="00B12674">
      <w:pPr>
        <w:pStyle w:val="ColorfulList-Accent11"/>
        <w:numPr>
          <w:ilvl w:val="0"/>
          <w:numId w:val="4"/>
        </w:numPr>
        <w:ind w:left="360"/>
        <w:jc w:val="both"/>
        <w:rPr>
          <w:lang w:val="ro-RO"/>
        </w:rPr>
      </w:pPr>
      <w:r w:rsidRPr="00F73EF8">
        <w:rPr>
          <w:lang w:val="ro-RO"/>
        </w:rPr>
        <w:t>Adaptarea serviciilor de edu</w:t>
      </w:r>
      <w:r w:rsidRPr="00CB2378">
        <w:rPr>
          <w:lang w:val="ro-RO"/>
        </w:rPr>
        <w:t>ca</w:t>
      </w:r>
      <w:r>
        <w:rPr>
          <w:lang w:val="ro-RO"/>
        </w:rPr>
        <w:t>ţ</w:t>
      </w:r>
      <w:r w:rsidRPr="00CB2378">
        <w:rPr>
          <w:lang w:val="ro-RO"/>
        </w:rPr>
        <w:t xml:space="preserve">ie, formare profesională </w:t>
      </w:r>
      <w:r w:rsidRPr="003133BA">
        <w:rPr>
          <w:lang w:val="ro-RO"/>
        </w:rPr>
        <w:t>ș</w:t>
      </w:r>
      <w:r w:rsidRPr="00CB2378">
        <w:rPr>
          <w:lang w:val="ro-RO"/>
        </w:rPr>
        <w:t>i angajare la nevoile în schimbare ale pie</w:t>
      </w:r>
      <w:r>
        <w:rPr>
          <w:lang w:val="ro-RO"/>
        </w:rPr>
        <w:t>ţ</w:t>
      </w:r>
      <w:r w:rsidRPr="00CB2378">
        <w:rPr>
          <w:lang w:val="ro-RO"/>
        </w:rPr>
        <w:t>ei for</w:t>
      </w:r>
      <w:r>
        <w:rPr>
          <w:lang w:val="ro-RO"/>
        </w:rPr>
        <w:t>ţ</w:t>
      </w:r>
      <w:r w:rsidRPr="00CB2378">
        <w:rPr>
          <w:lang w:val="ro-RO"/>
        </w:rPr>
        <w:t>ei de muncă, în special de calificare, necesare în acele sectoare care au poten</w:t>
      </w:r>
      <w:r>
        <w:rPr>
          <w:lang w:val="ro-RO"/>
        </w:rPr>
        <w:t>ţ</w:t>
      </w:r>
      <w:r w:rsidRPr="00CB2378">
        <w:rPr>
          <w:lang w:val="ro-RO"/>
        </w:rPr>
        <w:t>ial de cre</w:t>
      </w:r>
      <w:r w:rsidRPr="003133BA">
        <w:rPr>
          <w:lang w:val="ro-RO"/>
        </w:rPr>
        <w:t>ș</w:t>
      </w:r>
      <w:r w:rsidRPr="00CB2378">
        <w:rPr>
          <w:lang w:val="ro-RO"/>
        </w:rPr>
        <w:t xml:space="preserve">tere. </w:t>
      </w:r>
    </w:p>
    <w:p w:rsidR="00B50A36" w:rsidRPr="00D46AE7" w:rsidRDefault="00B50A36" w:rsidP="00B12674">
      <w:pPr>
        <w:pStyle w:val="ColorfulList-Accent11"/>
        <w:numPr>
          <w:ilvl w:val="0"/>
          <w:numId w:val="4"/>
        </w:numPr>
        <w:ind w:left="360"/>
        <w:jc w:val="both"/>
        <w:rPr>
          <w:lang w:val="ro-RO"/>
        </w:rPr>
      </w:pPr>
      <w:r>
        <w:rPr>
          <w:lang w:val="ro-RO"/>
        </w:rPr>
        <w:t>Stimularea şi facilitarea p</w:t>
      </w:r>
      <w:r w:rsidRPr="00CB2378">
        <w:rPr>
          <w:lang w:val="ro-RO"/>
        </w:rPr>
        <w:t>articip</w:t>
      </w:r>
      <w:r>
        <w:rPr>
          <w:lang w:val="ro-RO"/>
        </w:rPr>
        <w:t>ă</w:t>
      </w:r>
      <w:r w:rsidRPr="00CB2378">
        <w:rPr>
          <w:lang w:val="ro-RO"/>
        </w:rPr>
        <w:t>r</w:t>
      </w:r>
      <w:r>
        <w:rPr>
          <w:lang w:val="ro-RO"/>
        </w:rPr>
        <w:t>ii</w:t>
      </w:r>
      <w:r w:rsidRPr="00CB2378">
        <w:rPr>
          <w:lang w:val="ro-RO"/>
        </w:rPr>
        <w:t xml:space="preserve"> angajatorilor în dezvoltarea for</w:t>
      </w:r>
      <w:r>
        <w:rPr>
          <w:lang w:val="ro-RO"/>
        </w:rPr>
        <w:t>ţ</w:t>
      </w:r>
      <w:r w:rsidRPr="00CB2378">
        <w:rPr>
          <w:lang w:val="ro-RO"/>
        </w:rPr>
        <w:t xml:space="preserve">ei de muncă </w:t>
      </w:r>
      <w:r w:rsidRPr="003133BA">
        <w:rPr>
          <w:lang w:val="ro-RO"/>
        </w:rPr>
        <w:t>ș</w:t>
      </w:r>
      <w:r w:rsidRPr="00CB2378">
        <w:rPr>
          <w:lang w:val="ro-RO"/>
        </w:rPr>
        <w:t>i la învă</w:t>
      </w:r>
      <w:r>
        <w:rPr>
          <w:lang w:val="ro-RO"/>
        </w:rPr>
        <w:t>ţ</w:t>
      </w:r>
      <w:r w:rsidRPr="00CB2378">
        <w:rPr>
          <w:lang w:val="ro-RO"/>
        </w:rPr>
        <w:t>area pe tot parcursul vieţii;</w:t>
      </w:r>
    </w:p>
    <w:p w:rsidR="00B50A36" w:rsidRPr="00F73EF8" w:rsidRDefault="00B50A36" w:rsidP="00B12674">
      <w:pPr>
        <w:pStyle w:val="ColorfulList-Accent11"/>
        <w:numPr>
          <w:ilvl w:val="0"/>
          <w:numId w:val="4"/>
        </w:numPr>
        <w:ind w:left="360"/>
        <w:jc w:val="both"/>
        <w:rPr>
          <w:lang w:val="ro-RO"/>
        </w:rPr>
      </w:pPr>
      <w:r w:rsidRPr="00CB2378">
        <w:rPr>
          <w:lang w:val="ro-RO"/>
        </w:rPr>
        <w:t>O atenţie specială va fi acordată calităţii şi valorii adăugate a burselor de training oferite tinerilor, inclusiv prin participarea la iniţiativa europeană privind un Cadru European al Calităţii pentru Bursele de Training;</w:t>
      </w:r>
    </w:p>
    <w:p w:rsidR="00B50A36" w:rsidRPr="00F73EF8" w:rsidRDefault="00B50A36" w:rsidP="00B12674">
      <w:pPr>
        <w:pStyle w:val="ColorfulList-Accent11"/>
        <w:numPr>
          <w:ilvl w:val="0"/>
          <w:numId w:val="4"/>
        </w:numPr>
        <w:ind w:left="360"/>
        <w:jc w:val="both"/>
        <w:rPr>
          <w:lang w:val="ro-RO"/>
        </w:rPr>
      </w:pPr>
      <w:r w:rsidRPr="00F73EF8">
        <w:rPr>
          <w:lang w:val="ro-RO"/>
        </w:rPr>
        <w:t>Creșterea atractivităţii  învăţământului și a sistemului VET, precum și sprijinirea familiarizării tinerilor înscriși în sistemul de învăţământ obligatoriu cu viitoarele locuri de muncă, cu accent asupra zonelor rurale și a cetăţenilor români de etnie romă, împreună cu mai buna adaptare pe termen scurt şi mai buna anticipare pe termen lung a competenţelor cerute pe piaţa muncii;</w:t>
      </w:r>
    </w:p>
    <w:p w:rsidR="00B50A36" w:rsidRPr="00D46AE7" w:rsidRDefault="00B50A36" w:rsidP="00B12674">
      <w:pPr>
        <w:pStyle w:val="ColorfulList-Accent11"/>
        <w:numPr>
          <w:ilvl w:val="0"/>
          <w:numId w:val="4"/>
        </w:numPr>
        <w:ind w:left="360"/>
        <w:jc w:val="both"/>
        <w:rPr>
          <w:lang w:val="ro-RO"/>
        </w:rPr>
      </w:pPr>
      <w:r w:rsidRPr="00F73EF8">
        <w:rPr>
          <w:lang w:val="ro-RO"/>
        </w:rPr>
        <w:t>Îmbunătăţirea calităţii și relevanţei VET (iniţial și continuu) și a învăţământului terţiar în raport cu nevoile pieţei muncii;</w:t>
      </w:r>
    </w:p>
    <w:p w:rsidR="00B50A36" w:rsidRDefault="00B50A36" w:rsidP="00B12674">
      <w:pPr>
        <w:pStyle w:val="ColorfulList-Accent11"/>
        <w:numPr>
          <w:ilvl w:val="0"/>
          <w:numId w:val="4"/>
        </w:numPr>
        <w:ind w:left="360"/>
        <w:jc w:val="both"/>
        <w:rPr>
          <w:lang w:val="ro-RO"/>
        </w:rPr>
      </w:pPr>
      <w:r w:rsidRPr="00D46AE7">
        <w:rPr>
          <w:lang w:val="ro-RO"/>
        </w:rPr>
        <w:t>Luarea în considerare a situaţiei specifice a tinerilor la proiectarea strategiilor de flexisecuritate</w:t>
      </w:r>
      <w:r>
        <w:rPr>
          <w:lang w:val="ro-RO"/>
        </w:rPr>
        <w:t>.</w:t>
      </w:r>
    </w:p>
    <w:p w:rsidR="00B50A36" w:rsidRPr="00466D08" w:rsidRDefault="00B50A36" w:rsidP="00B12674">
      <w:pPr>
        <w:pStyle w:val="ColorfulList-Accent11"/>
        <w:ind w:left="360"/>
        <w:jc w:val="both"/>
        <w:rPr>
          <w:lang w:val="ro-RO"/>
        </w:rPr>
      </w:pPr>
    </w:p>
    <w:p w:rsidR="00B50A36" w:rsidRPr="00F473EE" w:rsidRDefault="00B50A36" w:rsidP="00B12674">
      <w:pPr>
        <w:pStyle w:val="Heading5"/>
        <w:numPr>
          <w:ilvl w:val="2"/>
          <w:numId w:val="25"/>
        </w:numPr>
        <w:jc w:val="both"/>
        <w:rPr>
          <w:rFonts w:cs="Times New Roman"/>
          <w:lang w:val="ro-RO"/>
        </w:rPr>
      </w:pPr>
      <w:r w:rsidRPr="00777389">
        <w:rPr>
          <w:lang w:val="ro-RO"/>
        </w:rPr>
        <w:t>Promovarea unor mãsuri, inclusiv legislative, în favoarea tinerilor, prin care sã fie asiguratã tranzi</w:t>
      </w:r>
      <w:r>
        <w:rPr>
          <w:lang w:val="ro-RO"/>
        </w:rPr>
        <w:t>ţ</w:t>
      </w:r>
      <w:r w:rsidRPr="00777389">
        <w:rPr>
          <w:lang w:val="ro-RO"/>
        </w:rPr>
        <w:t>ia coerentã de la sistemul educa</w:t>
      </w:r>
      <w:r>
        <w:rPr>
          <w:lang w:val="ro-RO"/>
        </w:rPr>
        <w:t>ţ</w:t>
      </w:r>
      <w:r w:rsidRPr="00777389">
        <w:rPr>
          <w:lang w:val="ro-RO"/>
        </w:rPr>
        <w:t>ional cãtre pia</w:t>
      </w:r>
      <w:r>
        <w:rPr>
          <w:lang w:val="ro-RO"/>
        </w:rPr>
        <w:t>ţ</w:t>
      </w:r>
      <w:r w:rsidRPr="00777389">
        <w:rPr>
          <w:lang w:val="ro-RO"/>
        </w:rPr>
        <w:t>a for</w:t>
      </w:r>
      <w:r>
        <w:rPr>
          <w:lang w:val="ro-RO"/>
        </w:rPr>
        <w:t>ţ</w:t>
      </w:r>
      <w:r w:rsidRPr="00777389">
        <w:rPr>
          <w:lang w:val="ro-RO"/>
        </w:rPr>
        <w:t>ei de muncã.</w:t>
      </w:r>
    </w:p>
    <w:p w:rsidR="00C76ED0" w:rsidRDefault="00C76ED0" w:rsidP="00B12674">
      <w:pPr>
        <w:pStyle w:val="Heading6"/>
        <w:jc w:val="both"/>
        <w:rPr>
          <w:lang w:val="ro-RO"/>
        </w:rPr>
      </w:pPr>
    </w:p>
    <w:p w:rsidR="00B50A36" w:rsidRDefault="00B50A36" w:rsidP="00B12674">
      <w:pPr>
        <w:pStyle w:val="Heading6"/>
        <w:jc w:val="both"/>
        <w:rPr>
          <w:rFonts w:cs="Times New Roman"/>
          <w:lang w:val="ro-RO"/>
        </w:rPr>
      </w:pPr>
      <w:r w:rsidRPr="00777389">
        <w:rPr>
          <w:lang w:val="ro-RO"/>
        </w:rPr>
        <w:t>Direc</w:t>
      </w:r>
      <w:r>
        <w:rPr>
          <w:lang w:val="ro-RO"/>
        </w:rPr>
        <w:t>ţ</w:t>
      </w:r>
      <w:r w:rsidRPr="00777389">
        <w:rPr>
          <w:lang w:val="ro-RO"/>
        </w:rPr>
        <w:t>ii de ac</w:t>
      </w:r>
      <w:r>
        <w:rPr>
          <w:lang w:val="ro-RO"/>
        </w:rPr>
        <w:t>ţ</w:t>
      </w:r>
      <w:r w:rsidRPr="00777389">
        <w:rPr>
          <w:lang w:val="ro-RO"/>
        </w:rPr>
        <w:t>iune:</w:t>
      </w:r>
    </w:p>
    <w:p w:rsidR="00B50A36" w:rsidRPr="00D46AE7" w:rsidRDefault="00B50A36" w:rsidP="00B12674">
      <w:pPr>
        <w:pStyle w:val="ColorfulList-Accent11"/>
        <w:numPr>
          <w:ilvl w:val="0"/>
          <w:numId w:val="5"/>
        </w:numPr>
        <w:ind w:left="360"/>
        <w:jc w:val="both"/>
        <w:rPr>
          <w:lang w:val="ro-RO"/>
        </w:rPr>
      </w:pPr>
      <w:r w:rsidRPr="00D46AE7">
        <w:rPr>
          <w:lang w:val="ro-RO"/>
        </w:rPr>
        <w:t>Munca de tineret şi învăţarea nonformală vor fi recunoscute şi sprijinite în continuare ca surse semnificative de sprijin în vederea echipării tinerilor cu abilităţi şi competenţe de natură a le uşura accesul pe piaţa muncii, contribuind astfel la atingerea obiectivelor Strategiei Europa 2020;</w:t>
      </w:r>
    </w:p>
    <w:p w:rsidR="00B50A36" w:rsidRPr="00D46AE7" w:rsidRDefault="00B50A36" w:rsidP="00B12674">
      <w:pPr>
        <w:pStyle w:val="ColorfulList-Accent11"/>
        <w:numPr>
          <w:ilvl w:val="0"/>
          <w:numId w:val="5"/>
        </w:numPr>
        <w:ind w:left="360"/>
        <w:jc w:val="both"/>
        <w:rPr>
          <w:lang w:val="ro-RO"/>
        </w:rPr>
      </w:pPr>
      <w:r w:rsidRPr="00CB2378">
        <w:rPr>
          <w:lang w:val="ro-RO"/>
        </w:rPr>
        <w:t>Promovarea unui acces uşor la informaţie, prietenoasă şi de calitate, privind piaţa muncii, drepturile şi obligaţiile angajaţilor, respectiv ale angajatorilor, pentru toţi tinerii, în special pentru cei cu mai puţine oportunităţi;</w:t>
      </w:r>
    </w:p>
    <w:p w:rsidR="00B50A36" w:rsidRPr="00360E1A" w:rsidRDefault="00B50A36" w:rsidP="00B12674">
      <w:pPr>
        <w:pStyle w:val="ColorfulList-Accent11"/>
        <w:numPr>
          <w:ilvl w:val="0"/>
          <w:numId w:val="5"/>
        </w:numPr>
        <w:ind w:left="360"/>
        <w:jc w:val="both"/>
        <w:rPr>
          <w:lang w:val="ro-RO"/>
        </w:rPr>
      </w:pPr>
      <w:r w:rsidRPr="00CB2378">
        <w:rPr>
          <w:lang w:val="ro-RO"/>
        </w:rPr>
        <w:t xml:space="preserve">Integrarea formării şi orientării concentrate pe carieră la toate nivelele traiectoriilor de educaţie formală şi de învăţare nonformală pentru a conştientiza tinerii cu privire la cerinţele pieţei muncii, a </w:t>
      </w:r>
      <w:r w:rsidRPr="00360E1A">
        <w:rPr>
          <w:lang w:val="ro-RO"/>
        </w:rPr>
        <w:t>le crea şanse mai bune pe această piaţă şi a-i pregăti pentru viaţa de muncă;</w:t>
      </w:r>
    </w:p>
    <w:p w:rsidR="00B50A36" w:rsidRPr="00360E1A" w:rsidRDefault="00B50A36" w:rsidP="00B12674">
      <w:pPr>
        <w:pStyle w:val="ColorfulList-Accent11"/>
        <w:numPr>
          <w:ilvl w:val="0"/>
          <w:numId w:val="5"/>
        </w:numPr>
        <w:ind w:left="360"/>
        <w:jc w:val="both"/>
        <w:rPr>
          <w:lang w:val="ro-RO"/>
        </w:rPr>
      </w:pPr>
      <w:r w:rsidRPr="00360E1A">
        <w:rPr>
          <w:lang w:val="ro-RO"/>
        </w:rPr>
        <w:t>Sprijinirea consolidării accesibilităţii, eficienţei și calităţii serviciilor publice, inclusiv prin prestarea acestora de către sectorul privat sau întreprinderile sociale;</w:t>
      </w:r>
    </w:p>
    <w:p w:rsidR="00B50A36" w:rsidRPr="00360E1A" w:rsidRDefault="00B50A36" w:rsidP="00B12674">
      <w:pPr>
        <w:pStyle w:val="ColorfulList-Accent11"/>
        <w:numPr>
          <w:ilvl w:val="0"/>
          <w:numId w:val="5"/>
        </w:numPr>
        <w:ind w:left="360"/>
        <w:jc w:val="both"/>
        <w:rPr>
          <w:lang w:val="ro-RO"/>
        </w:rPr>
      </w:pPr>
      <w:r w:rsidRPr="00CB2378">
        <w:rPr>
          <w:lang w:val="ro-RO"/>
        </w:rPr>
        <w:lastRenderedPageBreak/>
        <w:t>Actorii importanţi precum lucrătorii de tineret, consilierii de carieră şi trainerii instruiţi vor fi recunoscuţi şi susţinuţi ca o sursă semnificativă de sprijin re</w:t>
      </w:r>
      <w:r w:rsidRPr="00360E1A">
        <w:rPr>
          <w:lang w:val="ro-RO"/>
        </w:rPr>
        <w:t>levant;</w:t>
      </w:r>
    </w:p>
    <w:p w:rsidR="00B50A36" w:rsidRDefault="00B50A36" w:rsidP="00B12674">
      <w:pPr>
        <w:pStyle w:val="ColorfulList-Accent11"/>
        <w:numPr>
          <w:ilvl w:val="0"/>
          <w:numId w:val="5"/>
        </w:numPr>
        <w:ind w:left="360"/>
        <w:jc w:val="both"/>
        <w:rPr>
          <w:lang w:val="ro-RO"/>
        </w:rPr>
      </w:pPr>
      <w:r w:rsidRPr="00360E1A">
        <w:rPr>
          <w:lang w:val="ro-RO"/>
        </w:rPr>
        <w:t xml:space="preserve">Susţinerea, inclusiv financiară, a organizaţiilor neguvernamentale de şi pentru tineret, ca furnizori majori de educaţie nonformală şi învăţare informală, precum şi de largi oportunităţi de mobilitate în afara contextului educaţiei formale. </w:t>
      </w:r>
    </w:p>
    <w:p w:rsidR="00B50A36" w:rsidRPr="00D46AE7" w:rsidRDefault="00B50A36" w:rsidP="00B12674">
      <w:pPr>
        <w:pStyle w:val="ColorfulList-Accent11"/>
        <w:numPr>
          <w:ilvl w:val="0"/>
          <w:numId w:val="5"/>
        </w:numPr>
        <w:ind w:left="360"/>
        <w:jc w:val="both"/>
        <w:rPr>
          <w:lang w:val="ro-RO"/>
        </w:rPr>
      </w:pPr>
      <w:r w:rsidRPr="00CB2378">
        <w:rPr>
          <w:lang w:val="ro-RO"/>
        </w:rPr>
        <w:t>Asigurarea de training personalizat specialiştilor în munca de tineret, profesorilor şi consilierilor de carieră pentru furnizarea de informaţii privind piaţa muncii şi consilierea în domeniul carierei;</w:t>
      </w:r>
    </w:p>
    <w:p w:rsidR="00B50A36" w:rsidRPr="00D46AE7" w:rsidRDefault="00B50A36" w:rsidP="00B12674">
      <w:pPr>
        <w:pStyle w:val="ColorfulList-Accent11"/>
        <w:numPr>
          <w:ilvl w:val="0"/>
          <w:numId w:val="5"/>
        </w:numPr>
        <w:ind w:left="360"/>
        <w:jc w:val="both"/>
        <w:rPr>
          <w:lang w:val="ro-RO"/>
        </w:rPr>
      </w:pPr>
      <w:r w:rsidRPr="00CB2378">
        <w:rPr>
          <w:lang w:val="ro-RO"/>
        </w:rPr>
        <w:t>Organizarea de seminarii privind sprijinul în dezvoltarea carierei prin întărirea coope</w:t>
      </w:r>
      <w:r w:rsidRPr="00360E1A">
        <w:rPr>
          <w:lang w:val="ro-RO"/>
        </w:rPr>
        <w:t>rării dintre organizaţiile neguvernamentale de şi pentru tineret</w:t>
      </w:r>
      <w:r w:rsidRPr="00360E1A" w:rsidDel="00CD2143">
        <w:rPr>
          <w:lang w:val="ro-RO"/>
        </w:rPr>
        <w:t xml:space="preserve"> </w:t>
      </w:r>
      <w:r w:rsidRPr="00360E1A">
        <w:rPr>
          <w:lang w:val="ro-RO"/>
        </w:rPr>
        <w:t>şi serviciile naţionale de ocupare a forţei de muncă;</w:t>
      </w:r>
    </w:p>
    <w:p w:rsidR="00B50A36" w:rsidRPr="0058567A" w:rsidRDefault="00B50A36" w:rsidP="00B12674">
      <w:pPr>
        <w:pStyle w:val="ColorfulList-Accent11"/>
        <w:numPr>
          <w:ilvl w:val="0"/>
          <w:numId w:val="5"/>
        </w:numPr>
        <w:ind w:left="360"/>
        <w:jc w:val="both"/>
        <w:rPr>
          <w:lang w:val="ro-RO"/>
        </w:rPr>
      </w:pPr>
      <w:r>
        <w:rPr>
          <w:lang w:val="ro-RO"/>
        </w:rPr>
        <w:t xml:space="preserve">Armonizarea legislaţiei muncii cu </w:t>
      </w:r>
      <w:r w:rsidRPr="00CB2378">
        <w:rPr>
          <w:lang w:val="ro-RO"/>
        </w:rPr>
        <w:t>Legea Educaţiei Naţionale şi Legea Tinerilor în vederea asigurării unei tranziţii coerente de la sistemul educaţional către piaţa forţei de muncă</w:t>
      </w:r>
      <w:r w:rsidRPr="0058567A">
        <w:rPr>
          <w:lang w:val="ro-RO"/>
        </w:rPr>
        <w:t>.</w:t>
      </w:r>
    </w:p>
    <w:p w:rsidR="00B50A36" w:rsidRPr="004310C9" w:rsidRDefault="00B50A36" w:rsidP="00B12674">
      <w:pPr>
        <w:pStyle w:val="ColorfulList-Accent11"/>
        <w:jc w:val="both"/>
        <w:rPr>
          <w:sz w:val="24"/>
          <w:szCs w:val="24"/>
          <w:lang w:val="ro-RO"/>
        </w:rPr>
      </w:pPr>
    </w:p>
    <w:p w:rsidR="00B50A36" w:rsidRPr="00F473EE" w:rsidRDefault="00B50A36" w:rsidP="00B12674">
      <w:pPr>
        <w:pStyle w:val="Heading5"/>
        <w:numPr>
          <w:ilvl w:val="2"/>
          <w:numId w:val="25"/>
        </w:numPr>
        <w:jc w:val="both"/>
        <w:rPr>
          <w:lang w:val="ro-RO"/>
        </w:rPr>
      </w:pPr>
      <w:r w:rsidRPr="00F473EE">
        <w:rPr>
          <w:lang w:val="ro-RO"/>
        </w:rPr>
        <w:t>Promovarea şi susţinerea echilibrului între viaţa profesională şi cea personală a tinerilor.</w:t>
      </w:r>
    </w:p>
    <w:p w:rsidR="00C76ED0" w:rsidRDefault="00C76ED0" w:rsidP="00B12674">
      <w:pPr>
        <w:pStyle w:val="Heading6"/>
        <w:jc w:val="both"/>
        <w:rPr>
          <w:lang w:val="ro-RO"/>
        </w:rPr>
      </w:pPr>
    </w:p>
    <w:p w:rsidR="00B50A36" w:rsidRDefault="00B50A36" w:rsidP="00B12674">
      <w:pPr>
        <w:pStyle w:val="Heading6"/>
        <w:jc w:val="both"/>
        <w:rPr>
          <w:rFonts w:cs="Times New Roman"/>
          <w:lang w:val="ro-RO"/>
        </w:rPr>
      </w:pPr>
      <w:r w:rsidRPr="00F473EE">
        <w:rPr>
          <w:lang w:val="ro-RO"/>
        </w:rPr>
        <w:t>Direcţii de acţiune:</w:t>
      </w:r>
    </w:p>
    <w:p w:rsidR="00B50A36" w:rsidRPr="0058567A" w:rsidRDefault="00B50A36" w:rsidP="00B12674">
      <w:pPr>
        <w:pStyle w:val="ColorfulList-Accent11"/>
        <w:numPr>
          <w:ilvl w:val="0"/>
          <w:numId w:val="6"/>
        </w:numPr>
        <w:ind w:left="360"/>
        <w:jc w:val="both"/>
        <w:rPr>
          <w:lang w:val="ro-RO"/>
        </w:rPr>
      </w:pPr>
      <w:r w:rsidRPr="0058567A">
        <w:rPr>
          <w:lang w:val="ro-RO"/>
        </w:rPr>
        <w:t xml:space="preserve">Promovarea şi susţinerea de programe şi măsuri care să asigure un echilibru între viaţa de muncă şi nevoile personale ale tinerilor, de natură a le permite să-şi folosească pe deplin potenţialul atât pe piaţa muncii cât şi în viaţa privată. </w:t>
      </w:r>
    </w:p>
    <w:p w:rsidR="00B50A36" w:rsidRPr="0058567A" w:rsidRDefault="00B50A36" w:rsidP="00B12674">
      <w:pPr>
        <w:pStyle w:val="ColorfulList-Accent11"/>
        <w:numPr>
          <w:ilvl w:val="0"/>
          <w:numId w:val="6"/>
        </w:numPr>
        <w:ind w:left="360"/>
        <w:jc w:val="both"/>
        <w:rPr>
          <w:lang w:val="ro-RO"/>
        </w:rPr>
      </w:pPr>
      <w:r w:rsidRPr="0058567A">
        <w:rPr>
          <w:lang w:val="ro-RO"/>
        </w:rPr>
        <w:t>Îmbunătăţirea măsurilor de securitate socială pentru a încuraja angajatorii şi angajaţii să folosescă variate forme de muncă, în special munca la distanţă, munca cu program parţial, împărţirea locului de muncă şi munca la domiciliu</w:t>
      </w:r>
      <w:r w:rsidRPr="00D46AE7">
        <w:rPr>
          <w:lang w:val="ro-RO"/>
        </w:rPr>
        <w:t>;</w:t>
      </w:r>
    </w:p>
    <w:p w:rsidR="00B50A36" w:rsidRPr="0058567A" w:rsidRDefault="00B50A36" w:rsidP="00B12674">
      <w:pPr>
        <w:pStyle w:val="ColorfulList-Accent11"/>
        <w:numPr>
          <w:ilvl w:val="0"/>
          <w:numId w:val="6"/>
        </w:numPr>
        <w:ind w:left="360"/>
        <w:jc w:val="both"/>
        <w:rPr>
          <w:lang w:val="ro-RO"/>
        </w:rPr>
      </w:pPr>
      <w:r w:rsidRPr="0058567A">
        <w:rPr>
          <w:lang w:val="ro-RO"/>
        </w:rPr>
        <w:t>Asigurarea mai multor tipuri de facilităţi pentru îngrijirea copiilor, mai flexibile şi mai accesibile, la locul de muncă, acasă şi la şcoală, asigurate de personal calificat</w:t>
      </w:r>
      <w:r w:rsidRPr="00D46AE7">
        <w:rPr>
          <w:lang w:val="ro-RO"/>
        </w:rPr>
        <w:t>;</w:t>
      </w:r>
    </w:p>
    <w:p w:rsidR="00B50A36" w:rsidRPr="0058567A" w:rsidRDefault="00B50A36" w:rsidP="00B12674">
      <w:pPr>
        <w:pStyle w:val="ColorfulList-Accent11"/>
        <w:numPr>
          <w:ilvl w:val="0"/>
          <w:numId w:val="6"/>
        </w:numPr>
        <w:ind w:left="360"/>
        <w:jc w:val="both"/>
        <w:rPr>
          <w:lang w:val="ro-RO"/>
        </w:rPr>
      </w:pPr>
      <w:r w:rsidRPr="0058567A">
        <w:rPr>
          <w:lang w:val="ro-RO"/>
        </w:rPr>
        <w:t>Lansarea de campanii de informare care să încurajeze tinerele familii să împartă în mod egal sarcinile din viaţa privată şi profesională, folosind aranjamente flexibile de muncă</w:t>
      </w:r>
      <w:r>
        <w:rPr>
          <w:lang w:val="ro-RO"/>
        </w:rPr>
        <w:t>.</w:t>
      </w:r>
    </w:p>
    <w:p w:rsidR="00B50A36" w:rsidRPr="00F473EE" w:rsidRDefault="00B50A36" w:rsidP="00B12674">
      <w:pPr>
        <w:jc w:val="both"/>
        <w:rPr>
          <w:sz w:val="24"/>
          <w:szCs w:val="24"/>
          <w:lang w:val="ro-RO"/>
        </w:rPr>
      </w:pPr>
    </w:p>
    <w:p w:rsidR="00B50A36" w:rsidRPr="00F473EE" w:rsidRDefault="00B50A36" w:rsidP="00B12674">
      <w:pPr>
        <w:pStyle w:val="Heading5"/>
        <w:numPr>
          <w:ilvl w:val="2"/>
          <w:numId w:val="25"/>
        </w:numPr>
        <w:jc w:val="both"/>
        <w:rPr>
          <w:rFonts w:cs="Times New Roman"/>
          <w:lang w:val="ro-RO"/>
        </w:rPr>
      </w:pPr>
      <w:r w:rsidRPr="00777389">
        <w:rPr>
          <w:lang w:val="ro-RO"/>
        </w:rPr>
        <w:t>Stimularea mobilitã</w:t>
      </w:r>
      <w:r>
        <w:rPr>
          <w:lang w:val="ro-RO"/>
        </w:rPr>
        <w:t>ţ</w:t>
      </w:r>
      <w:r w:rsidRPr="00777389">
        <w:rPr>
          <w:lang w:val="ro-RO"/>
        </w:rPr>
        <w:t>ii tinerilor pe pia</w:t>
      </w:r>
      <w:r>
        <w:rPr>
          <w:lang w:val="ro-RO"/>
        </w:rPr>
        <w:t>ţ</w:t>
      </w:r>
      <w:r w:rsidRPr="00777389">
        <w:rPr>
          <w:lang w:val="ro-RO"/>
        </w:rPr>
        <w:t>a internã a muncii.</w:t>
      </w:r>
    </w:p>
    <w:p w:rsidR="00C76ED0" w:rsidRDefault="00C76ED0" w:rsidP="00B12674">
      <w:pPr>
        <w:pStyle w:val="Heading6"/>
        <w:jc w:val="both"/>
        <w:rPr>
          <w:lang w:val="ro-RO"/>
        </w:rPr>
      </w:pPr>
    </w:p>
    <w:p w:rsidR="00B50A36" w:rsidRDefault="00B50A36" w:rsidP="00B12674">
      <w:pPr>
        <w:pStyle w:val="Heading6"/>
        <w:jc w:val="both"/>
        <w:rPr>
          <w:rFonts w:cs="Times New Roman"/>
          <w:lang w:val="ro-RO"/>
        </w:rPr>
      </w:pPr>
      <w:r w:rsidRPr="00777389">
        <w:rPr>
          <w:lang w:val="ro-RO"/>
        </w:rPr>
        <w:t>Direc</w:t>
      </w:r>
      <w:r>
        <w:rPr>
          <w:lang w:val="ro-RO"/>
        </w:rPr>
        <w:t>ţ</w:t>
      </w:r>
      <w:r w:rsidRPr="00777389">
        <w:rPr>
          <w:lang w:val="ro-RO"/>
        </w:rPr>
        <w:t>ii de ac</w:t>
      </w:r>
      <w:r>
        <w:rPr>
          <w:lang w:val="ro-RO"/>
        </w:rPr>
        <w:t>ţ</w:t>
      </w:r>
      <w:r w:rsidRPr="00777389">
        <w:rPr>
          <w:lang w:val="ro-RO"/>
        </w:rPr>
        <w:t>iune:</w:t>
      </w:r>
    </w:p>
    <w:p w:rsidR="00B50A36" w:rsidRPr="0058567A" w:rsidRDefault="00B50A36" w:rsidP="00B12674">
      <w:pPr>
        <w:pStyle w:val="ColorfulList-Accent11"/>
        <w:numPr>
          <w:ilvl w:val="0"/>
          <w:numId w:val="7"/>
        </w:numPr>
        <w:ind w:left="360"/>
        <w:jc w:val="both"/>
        <w:rPr>
          <w:lang w:val="ro-RO"/>
        </w:rPr>
      </w:pPr>
      <w:r>
        <w:rPr>
          <w:lang w:val="ro-RO"/>
        </w:rPr>
        <w:t>Acordarea de s</w:t>
      </w:r>
      <w:r w:rsidRPr="0058567A">
        <w:rPr>
          <w:lang w:val="ro-RO"/>
        </w:rPr>
        <w:t xml:space="preserve">ubvenţii pentru chirie </w:t>
      </w:r>
      <w:r>
        <w:rPr>
          <w:lang w:val="ro-RO"/>
        </w:rPr>
        <w:t xml:space="preserve">tinerilor </w:t>
      </w:r>
      <w:r w:rsidRPr="0058567A">
        <w:rPr>
          <w:lang w:val="ro-RO"/>
        </w:rPr>
        <w:t>care se mută în alt judeţ pentru primul loc de muncă</w:t>
      </w:r>
      <w:r w:rsidRPr="00D46AE7">
        <w:rPr>
          <w:lang w:val="ro-RO"/>
        </w:rPr>
        <w:t>;</w:t>
      </w:r>
    </w:p>
    <w:p w:rsidR="00B50A36" w:rsidRPr="0058567A" w:rsidRDefault="00B50A36" w:rsidP="00B12674">
      <w:pPr>
        <w:pStyle w:val="ColorfulList-Accent11"/>
        <w:numPr>
          <w:ilvl w:val="0"/>
          <w:numId w:val="7"/>
        </w:numPr>
        <w:ind w:left="360"/>
        <w:jc w:val="both"/>
        <w:rPr>
          <w:lang w:val="ro-RO"/>
        </w:rPr>
      </w:pPr>
      <w:r w:rsidRPr="0058567A">
        <w:rPr>
          <w:lang w:val="ro-RO"/>
        </w:rPr>
        <w:lastRenderedPageBreak/>
        <w:t>Încurajarea întreprinderilor</w:t>
      </w:r>
      <w:r>
        <w:rPr>
          <w:lang w:val="ro-RO"/>
        </w:rPr>
        <w:t>, prin facilităţi fiscale,</w:t>
      </w:r>
      <w:r w:rsidRPr="0058567A">
        <w:rPr>
          <w:lang w:val="ro-RO"/>
        </w:rPr>
        <w:t xml:space="preserve"> să contracteze şi să includă în pachetul salarial pentru tineri angajaţi locuinţe de serviciu. Complementar, astfel de locuinţe </w:t>
      </w:r>
      <w:r>
        <w:rPr>
          <w:lang w:val="ro-RO"/>
        </w:rPr>
        <w:t>vor fi</w:t>
      </w:r>
      <w:r w:rsidRPr="0058567A">
        <w:rPr>
          <w:lang w:val="ro-RO"/>
        </w:rPr>
        <w:t xml:space="preserve"> contractate/construite de stat şi puse la dispoziţia angajatorilor în anumite condiţii</w:t>
      </w:r>
      <w:r w:rsidRPr="00D46AE7">
        <w:rPr>
          <w:lang w:val="ro-RO"/>
        </w:rPr>
        <w:t>;</w:t>
      </w:r>
    </w:p>
    <w:p w:rsidR="00B50A36" w:rsidRPr="0058567A" w:rsidRDefault="00B50A36" w:rsidP="00B12674">
      <w:pPr>
        <w:pStyle w:val="ColorfulList-Accent11"/>
        <w:numPr>
          <w:ilvl w:val="0"/>
          <w:numId w:val="7"/>
        </w:numPr>
        <w:ind w:left="360"/>
        <w:jc w:val="both"/>
        <w:rPr>
          <w:lang w:val="ro-RO"/>
        </w:rPr>
      </w:pPr>
      <w:r w:rsidRPr="0058567A">
        <w:rPr>
          <w:lang w:val="ro-RO"/>
        </w:rPr>
        <w:t>Facilitarea accesului şi a mobilităţii pe piaţa internă a forţei de muncă atât a tinerilor români care au studiat în străinătate, cât şi a tinerilor străini care au studiat în România sau în alte state membre ale UE</w:t>
      </w:r>
      <w:r>
        <w:rPr>
          <w:lang w:val="ro-RO"/>
        </w:rPr>
        <w:t>.</w:t>
      </w:r>
    </w:p>
    <w:p w:rsidR="00B50A36" w:rsidRPr="00F473EE" w:rsidRDefault="00B50A36" w:rsidP="00B12674">
      <w:pPr>
        <w:pStyle w:val="ColorfulList-Accent11"/>
        <w:jc w:val="both"/>
        <w:rPr>
          <w:sz w:val="24"/>
          <w:szCs w:val="24"/>
          <w:lang w:val="ro-RO"/>
        </w:rPr>
      </w:pPr>
    </w:p>
    <w:p w:rsidR="00B50A36" w:rsidRPr="00F473EE" w:rsidRDefault="00B50A36" w:rsidP="00B12674">
      <w:pPr>
        <w:pStyle w:val="Heading5"/>
        <w:numPr>
          <w:ilvl w:val="2"/>
          <w:numId w:val="25"/>
        </w:numPr>
        <w:jc w:val="both"/>
        <w:rPr>
          <w:rFonts w:cs="Times New Roman"/>
          <w:lang w:val="ro-RO"/>
        </w:rPr>
      </w:pPr>
      <w:r w:rsidRPr="00777389">
        <w:rPr>
          <w:lang w:val="ro-RO"/>
        </w:rPr>
        <w:t>Sprijinirea mobilitã</w:t>
      </w:r>
      <w:r>
        <w:rPr>
          <w:lang w:val="ro-RO"/>
        </w:rPr>
        <w:t>ţ</w:t>
      </w:r>
      <w:r w:rsidRPr="00777389">
        <w:rPr>
          <w:lang w:val="ro-RO"/>
        </w:rPr>
        <w:t>ii tinerilor din România pe pia</w:t>
      </w:r>
      <w:r>
        <w:rPr>
          <w:lang w:val="ro-RO"/>
        </w:rPr>
        <w:t>ţ</w:t>
      </w:r>
      <w:r w:rsidRPr="00777389">
        <w:rPr>
          <w:lang w:val="ro-RO"/>
        </w:rPr>
        <w:t>a europeanã a for</w:t>
      </w:r>
      <w:r>
        <w:rPr>
          <w:lang w:val="ro-RO"/>
        </w:rPr>
        <w:t>ţ</w:t>
      </w:r>
      <w:r w:rsidRPr="00777389">
        <w:rPr>
          <w:lang w:val="ro-RO"/>
        </w:rPr>
        <w:t xml:space="preserve">ei de muncã, inclusiv prin programe de combinare a muncii cu pregãtirea </w:t>
      </w:r>
      <w:r>
        <w:rPr>
          <w:lang w:val="ro-RO"/>
        </w:rPr>
        <w:t>ş</w:t>
      </w:r>
      <w:r w:rsidRPr="00777389">
        <w:rPr>
          <w:lang w:val="ro-RO"/>
        </w:rPr>
        <w:t>i prin programe de integrare, în cadrul fazei post-pilot a programului "Primul tãu job EURES".</w:t>
      </w:r>
    </w:p>
    <w:p w:rsidR="00C76ED0" w:rsidRDefault="00C76ED0" w:rsidP="00B12674">
      <w:pPr>
        <w:pStyle w:val="Heading6"/>
        <w:jc w:val="both"/>
        <w:rPr>
          <w:lang w:val="ro-RO"/>
        </w:rPr>
      </w:pPr>
    </w:p>
    <w:p w:rsidR="00B50A36" w:rsidRDefault="00B50A36" w:rsidP="00B12674">
      <w:pPr>
        <w:pStyle w:val="Heading6"/>
        <w:jc w:val="both"/>
        <w:rPr>
          <w:rFonts w:cs="Times New Roman"/>
          <w:lang w:val="ro-RO"/>
        </w:rPr>
      </w:pPr>
      <w:r w:rsidRPr="00777389">
        <w:rPr>
          <w:lang w:val="ro-RO"/>
        </w:rPr>
        <w:t>Direc</w:t>
      </w:r>
      <w:r>
        <w:rPr>
          <w:lang w:val="ro-RO"/>
        </w:rPr>
        <w:t>ţ</w:t>
      </w:r>
      <w:r w:rsidRPr="00777389">
        <w:rPr>
          <w:lang w:val="ro-RO"/>
        </w:rPr>
        <w:t>ii de ac</w:t>
      </w:r>
      <w:r>
        <w:rPr>
          <w:lang w:val="ro-RO"/>
        </w:rPr>
        <w:t>ţ</w:t>
      </w:r>
      <w:r w:rsidRPr="00777389">
        <w:rPr>
          <w:lang w:val="ro-RO"/>
        </w:rPr>
        <w:t>iune:</w:t>
      </w:r>
    </w:p>
    <w:p w:rsidR="00B50A36" w:rsidRPr="0058567A" w:rsidRDefault="00B50A36" w:rsidP="00B12674">
      <w:pPr>
        <w:pStyle w:val="ColorfulList-Accent11"/>
        <w:numPr>
          <w:ilvl w:val="0"/>
          <w:numId w:val="8"/>
        </w:numPr>
        <w:ind w:left="360"/>
        <w:jc w:val="both"/>
        <w:rPr>
          <w:lang w:val="ro-RO"/>
        </w:rPr>
      </w:pPr>
      <w:r w:rsidRPr="0058567A">
        <w:rPr>
          <w:lang w:val="ro-RO"/>
        </w:rPr>
        <w:t>Întărirea capacităţii serviciilor publice de ocupare şi a altor organizaţii care activează pe piaţa muncii pentru a deveni servicii de ocupare în cadrul acestui program, precum şi pentru a se asocia la alte reţele europene menite a facilita integrarea pieţelor muncii la nivel european</w:t>
      </w:r>
      <w:r w:rsidRPr="00D46AE7">
        <w:rPr>
          <w:lang w:val="ro-RO"/>
        </w:rPr>
        <w:t>;</w:t>
      </w:r>
    </w:p>
    <w:p w:rsidR="00B50A36" w:rsidRPr="0058567A" w:rsidRDefault="00B50A36" w:rsidP="00B12674">
      <w:pPr>
        <w:pStyle w:val="ColorfulList-Accent11"/>
        <w:numPr>
          <w:ilvl w:val="0"/>
          <w:numId w:val="8"/>
        </w:numPr>
        <w:ind w:left="360"/>
        <w:jc w:val="both"/>
        <w:rPr>
          <w:lang w:val="ro-RO"/>
        </w:rPr>
      </w:pPr>
      <w:r w:rsidRPr="0058567A">
        <w:rPr>
          <w:lang w:val="ro-RO"/>
        </w:rPr>
        <w:t>Încurajarea şi sprijinirea parteneriatelor tranfrontaliere dintre angajatori şi furnizori de formare profesională, în vederea amplificării oportunităţilor de acces ale tinerilor din România la educaţie şi formare profesională în cadrul programului "Erasmus +", inţiat de Comisia Europeană</w:t>
      </w:r>
      <w:r w:rsidRPr="00D46AE7">
        <w:rPr>
          <w:lang w:val="ro-RO"/>
        </w:rPr>
        <w:t>;</w:t>
      </w:r>
    </w:p>
    <w:p w:rsidR="00B50A36" w:rsidRPr="0058567A" w:rsidRDefault="00B50A36" w:rsidP="00B12674">
      <w:pPr>
        <w:pStyle w:val="ColorfulList-Accent11"/>
        <w:numPr>
          <w:ilvl w:val="0"/>
          <w:numId w:val="8"/>
        </w:numPr>
        <w:ind w:left="360"/>
        <w:jc w:val="both"/>
        <w:rPr>
          <w:lang w:val="ro-RO"/>
        </w:rPr>
      </w:pPr>
      <w:r w:rsidRPr="0058567A">
        <w:rPr>
          <w:lang w:val="ro-RO"/>
        </w:rPr>
        <w:t>Promovarea de oportunităţi profesionale şi vocaţionale transfrontaliere pentru tineri</w:t>
      </w:r>
      <w:r>
        <w:rPr>
          <w:lang w:val="ro-RO"/>
        </w:rPr>
        <w:t>.</w:t>
      </w:r>
    </w:p>
    <w:p w:rsidR="00B50A36" w:rsidRPr="00F473EE" w:rsidRDefault="00B50A36" w:rsidP="00B12674">
      <w:pPr>
        <w:pStyle w:val="ColorfulList-Accent11"/>
        <w:jc w:val="both"/>
        <w:rPr>
          <w:sz w:val="24"/>
          <w:szCs w:val="24"/>
          <w:lang w:val="ro-RO"/>
        </w:rPr>
      </w:pPr>
    </w:p>
    <w:p w:rsidR="00B50A36" w:rsidRPr="00F473EE" w:rsidRDefault="00B50A36" w:rsidP="00B12674">
      <w:pPr>
        <w:pStyle w:val="Heading5"/>
        <w:numPr>
          <w:ilvl w:val="2"/>
          <w:numId w:val="25"/>
        </w:numPr>
        <w:jc w:val="both"/>
        <w:rPr>
          <w:rFonts w:cs="Times New Roman"/>
          <w:lang w:val="ro-RO"/>
        </w:rPr>
      </w:pPr>
      <w:r w:rsidRPr="00777389">
        <w:rPr>
          <w:lang w:val="ro-RO"/>
        </w:rPr>
        <w:t xml:space="preserve">Asigurarea unor </w:t>
      </w:r>
      <w:r>
        <w:rPr>
          <w:lang w:val="ro-RO"/>
        </w:rPr>
        <w:t>ş</w:t>
      </w:r>
      <w:r w:rsidRPr="00777389">
        <w:rPr>
          <w:lang w:val="ro-RO"/>
        </w:rPr>
        <w:t xml:space="preserve">anse mai bune de acces </w:t>
      </w:r>
      <w:r>
        <w:rPr>
          <w:lang w:val="ro-RO"/>
        </w:rPr>
        <w:t>ş</w:t>
      </w:r>
      <w:r w:rsidRPr="00777389">
        <w:rPr>
          <w:lang w:val="ro-RO"/>
        </w:rPr>
        <w:t>i de men</w:t>
      </w:r>
      <w:r>
        <w:rPr>
          <w:lang w:val="ro-RO"/>
        </w:rPr>
        <w:t>ţ</w:t>
      </w:r>
      <w:r w:rsidRPr="00777389">
        <w:rPr>
          <w:lang w:val="ro-RO"/>
        </w:rPr>
        <w:t>inere pe pia</w:t>
      </w:r>
      <w:r>
        <w:rPr>
          <w:lang w:val="ro-RO"/>
        </w:rPr>
        <w:t>ţ</w:t>
      </w:r>
      <w:r w:rsidRPr="00777389">
        <w:rPr>
          <w:lang w:val="ro-RO"/>
        </w:rPr>
        <w:t>a muncii a tinerilor, prin însu</w:t>
      </w:r>
      <w:r>
        <w:rPr>
          <w:lang w:val="ro-RO"/>
        </w:rPr>
        <w:t>ş</w:t>
      </w:r>
      <w:r w:rsidRPr="00777389">
        <w:rPr>
          <w:lang w:val="ro-RO"/>
        </w:rPr>
        <w:t xml:space="preserve">irea </w:t>
      </w:r>
      <w:r>
        <w:rPr>
          <w:lang w:val="ro-RO"/>
        </w:rPr>
        <w:t>ş</w:t>
      </w:r>
      <w:r w:rsidRPr="00777389">
        <w:rPr>
          <w:lang w:val="ro-RO"/>
        </w:rPr>
        <w:t>i  dezvoltarea abilitã</w:t>
      </w:r>
      <w:r>
        <w:rPr>
          <w:lang w:val="ro-RO"/>
        </w:rPr>
        <w:t>ţ</w:t>
      </w:r>
      <w:r w:rsidRPr="00777389">
        <w:rPr>
          <w:lang w:val="ro-RO"/>
        </w:rPr>
        <w:t xml:space="preserve">ilor </w:t>
      </w:r>
      <w:r>
        <w:rPr>
          <w:lang w:val="ro-RO"/>
        </w:rPr>
        <w:t>ş</w:t>
      </w:r>
      <w:r w:rsidRPr="00777389">
        <w:rPr>
          <w:lang w:val="ro-RO"/>
        </w:rPr>
        <w:t>i competen</w:t>
      </w:r>
      <w:r>
        <w:rPr>
          <w:lang w:val="ro-RO"/>
        </w:rPr>
        <w:t>ţ</w:t>
      </w:r>
      <w:r w:rsidRPr="00777389">
        <w:rPr>
          <w:lang w:val="ro-RO"/>
        </w:rPr>
        <w:t>elor care le asigurã locul de muncã în viitor.</w:t>
      </w:r>
    </w:p>
    <w:p w:rsidR="00B50A36" w:rsidRDefault="00B50A36" w:rsidP="00B12674">
      <w:pPr>
        <w:pStyle w:val="Heading6"/>
        <w:jc w:val="both"/>
        <w:rPr>
          <w:rFonts w:cs="Times New Roman"/>
          <w:lang w:val="ro-RO"/>
        </w:rPr>
      </w:pPr>
    </w:p>
    <w:p w:rsidR="00B50A36" w:rsidRDefault="00B50A36" w:rsidP="00B12674">
      <w:pPr>
        <w:pStyle w:val="Heading6"/>
        <w:jc w:val="both"/>
        <w:rPr>
          <w:rFonts w:cs="Times New Roman"/>
          <w:lang w:val="ro-RO"/>
        </w:rPr>
      </w:pPr>
      <w:r w:rsidRPr="00D46AE7">
        <w:rPr>
          <w:lang w:val="ro-RO"/>
        </w:rPr>
        <w:t>Direcţii de acţiune:</w:t>
      </w:r>
    </w:p>
    <w:p w:rsidR="00B50A36" w:rsidRPr="00D46AE7" w:rsidRDefault="00B50A36" w:rsidP="00B12674">
      <w:pPr>
        <w:pStyle w:val="ColorfulList-Accent11"/>
        <w:numPr>
          <w:ilvl w:val="0"/>
          <w:numId w:val="9"/>
        </w:numPr>
        <w:ind w:left="360"/>
        <w:jc w:val="both"/>
        <w:rPr>
          <w:lang w:val="ro-RO"/>
        </w:rPr>
      </w:pPr>
      <w:r w:rsidRPr="00CB2378">
        <w:rPr>
          <w:lang w:val="ro-RO"/>
        </w:rPr>
        <w:t>Sprijinirea furnizorilor de educaţie şi formare profesională în mai buna adecvare a abilităţilor şi competenţelor cursanţilor/absolvenţilor la cerinţele unor sectoare cu potenţial ridicat de creare de locuri de muncă, precum TIC, îngrijirea sănătăţii şi economia verde, inclusiv participarea acestora la coaliţiile şi planurile de acţiune iniţiate în acest sens de Comisia Europeană;</w:t>
      </w:r>
    </w:p>
    <w:p w:rsidR="00B50A36" w:rsidRPr="00360E1A" w:rsidRDefault="00B50A36" w:rsidP="00B12674">
      <w:pPr>
        <w:pStyle w:val="ColorfulList-Accent11"/>
        <w:numPr>
          <w:ilvl w:val="0"/>
          <w:numId w:val="9"/>
        </w:numPr>
        <w:ind w:left="360"/>
        <w:jc w:val="both"/>
        <w:rPr>
          <w:lang w:val="ro-RO"/>
        </w:rPr>
      </w:pPr>
      <w:r w:rsidRPr="00CB2378">
        <w:rPr>
          <w:lang w:val="ro-RO"/>
        </w:rPr>
        <w:t xml:space="preserve">Asigurarea dreptului tinerilor ocupaţi la tratament egal şi corect, mai ales în ce priveşte munca şi salariul decent, locuri de muncă neprecare, oportunităţile de pregătire şi promovare, şi să nu fie supuşi </w:t>
      </w:r>
      <w:r w:rsidRPr="00360E1A">
        <w:rPr>
          <w:lang w:val="ro-RO"/>
        </w:rPr>
        <w:t>discriminării pe baza vârstei;</w:t>
      </w:r>
    </w:p>
    <w:p w:rsidR="00B50A36" w:rsidRPr="00360E1A" w:rsidRDefault="00B50A36" w:rsidP="00B12674">
      <w:pPr>
        <w:pStyle w:val="ColorfulList-Accent11"/>
        <w:numPr>
          <w:ilvl w:val="0"/>
          <w:numId w:val="9"/>
        </w:numPr>
        <w:ind w:left="360"/>
        <w:jc w:val="both"/>
        <w:rPr>
          <w:lang w:val="ro-RO"/>
        </w:rPr>
      </w:pPr>
      <w:r w:rsidRPr="00360E1A">
        <w:rPr>
          <w:lang w:val="ro-RO"/>
        </w:rPr>
        <w:lastRenderedPageBreak/>
        <w:t>Susţinerea acţiunilor de îmbunătăţire a șanselor de angajare ale tinerilor, precum consiliere individuală, formare la locul de muncă, pieţe intermediare ale forţei de muncă și încurajarea spiritului antreprenorial, cu luarea în considerare a particularităţilor structurii ocupării în România;</w:t>
      </w:r>
    </w:p>
    <w:p w:rsidR="00B50A36" w:rsidRPr="00360E1A" w:rsidRDefault="00B50A36" w:rsidP="00B12674">
      <w:pPr>
        <w:pStyle w:val="ColorfulList-Accent11"/>
        <w:numPr>
          <w:ilvl w:val="0"/>
          <w:numId w:val="9"/>
        </w:numPr>
        <w:ind w:left="360"/>
        <w:jc w:val="both"/>
        <w:rPr>
          <w:lang w:val="ro-RO"/>
        </w:rPr>
      </w:pPr>
      <w:r w:rsidRPr="00360E1A">
        <w:rPr>
          <w:lang w:val="ro-RO"/>
        </w:rPr>
        <w:t>Sprijinir</w:t>
      </w:r>
      <w:r w:rsidRPr="00CB2378">
        <w:rPr>
          <w:lang w:val="ro-RO"/>
        </w:rPr>
        <w:t>ea tinerilor în vederea menţinerii pe piaţa muncii, prin asigurarea de consiliere şi orientare în carieră de calitate, formare la locul de muncă, internship şi ucenicie de bună calitate plătite, care să răspundă abilităţilor şi intereselor acestora;</w:t>
      </w:r>
    </w:p>
    <w:p w:rsidR="00B50A36" w:rsidRPr="00360E1A" w:rsidRDefault="00B50A36" w:rsidP="00B12674">
      <w:pPr>
        <w:pStyle w:val="ColorfulList-Accent11"/>
        <w:numPr>
          <w:ilvl w:val="0"/>
          <w:numId w:val="9"/>
        </w:numPr>
        <w:ind w:left="360"/>
        <w:jc w:val="both"/>
        <w:rPr>
          <w:lang w:val="ro-RO"/>
        </w:rPr>
      </w:pPr>
      <w:r w:rsidRPr="00360E1A">
        <w:rPr>
          <w:lang w:val="ro-RO"/>
        </w:rPr>
        <w:t>Încurajarea și facilitarea participării angajatorilor la dezvoltarea forţei de muncă și a învăţării pe tot parcursul vieţii;</w:t>
      </w:r>
    </w:p>
    <w:p w:rsidR="00B50A36" w:rsidRPr="00360E1A" w:rsidRDefault="00B50A36" w:rsidP="00B12674">
      <w:pPr>
        <w:pStyle w:val="ColorfulList-Accent11"/>
        <w:numPr>
          <w:ilvl w:val="0"/>
          <w:numId w:val="9"/>
        </w:numPr>
        <w:ind w:left="360"/>
        <w:jc w:val="both"/>
        <w:rPr>
          <w:lang w:val="ro-RO"/>
        </w:rPr>
      </w:pPr>
      <w:r w:rsidRPr="00CB2378">
        <w:rPr>
          <w:lang w:val="ro-RO"/>
        </w:rPr>
        <w:t xml:space="preserve">Îmbunătăţirea flexibilităţii cât şi a securităţii pentru a permite tinerilor să combine munca cu continuarea educaţiei, cu participarea la cursuri de formare, cu participarea la activităţi de voluntariat şi cu </w:t>
      </w:r>
      <w:r w:rsidRPr="00360E1A">
        <w:rPr>
          <w:lang w:val="ro-RO"/>
        </w:rPr>
        <w:t>viaţa privată</w:t>
      </w:r>
      <w:r>
        <w:rPr>
          <w:lang w:val="ro-RO"/>
        </w:rPr>
        <w:t xml:space="preserve"> (aranjamente flexibile de muncă)</w:t>
      </w:r>
      <w:r w:rsidRPr="00360E1A">
        <w:rPr>
          <w:lang w:val="ro-RO"/>
        </w:rPr>
        <w:t>;</w:t>
      </w:r>
    </w:p>
    <w:p w:rsidR="00B50A36" w:rsidRPr="00360E1A" w:rsidRDefault="00B50A36" w:rsidP="00B12674">
      <w:pPr>
        <w:pStyle w:val="ColorfulList-Accent11"/>
        <w:numPr>
          <w:ilvl w:val="0"/>
          <w:numId w:val="9"/>
        </w:numPr>
        <w:ind w:left="360"/>
        <w:jc w:val="both"/>
        <w:rPr>
          <w:lang w:val="ro-RO"/>
        </w:rPr>
      </w:pPr>
      <w:r w:rsidRPr="00360E1A">
        <w:rPr>
          <w:lang w:val="ro-RO"/>
        </w:rPr>
        <w:t>Dezvoltarea unei abordări multi-dimensionale pentru susţinerea reintegrării tinerilor NEET (care nu sunt încadraţi profesional și nu urmează niciun program educaţional sau de formare) prin oportunităţi de educare, formare sau ocupare.;</w:t>
      </w:r>
    </w:p>
    <w:p w:rsidR="00B50A36" w:rsidRPr="00360E1A" w:rsidRDefault="00B50A36" w:rsidP="00B12674">
      <w:pPr>
        <w:pStyle w:val="ColorfulList-Accent11"/>
        <w:numPr>
          <w:ilvl w:val="0"/>
          <w:numId w:val="9"/>
        </w:numPr>
        <w:ind w:left="360"/>
        <w:jc w:val="both"/>
        <w:rPr>
          <w:lang w:val="ro-RO"/>
        </w:rPr>
      </w:pPr>
      <w:r w:rsidRPr="00360E1A">
        <w:rPr>
          <w:lang w:val="ro-RO"/>
        </w:rPr>
        <w:t>Identificarea încă din şcoală şi încurajarea dezvoltării spiritului antreprenorial în rândul tinerilor.</w:t>
      </w:r>
    </w:p>
    <w:p w:rsidR="00B50A36" w:rsidRPr="00F473EE" w:rsidRDefault="00B50A36" w:rsidP="00B12674">
      <w:pPr>
        <w:pStyle w:val="ColorfulList-Accent11"/>
        <w:ind w:left="0"/>
        <w:jc w:val="both"/>
        <w:rPr>
          <w:sz w:val="24"/>
          <w:szCs w:val="24"/>
          <w:lang w:val="ro-RO"/>
        </w:rPr>
      </w:pPr>
    </w:p>
    <w:p w:rsidR="00B50A36" w:rsidRPr="00335D95" w:rsidRDefault="00B50A36" w:rsidP="00B12674">
      <w:pPr>
        <w:pStyle w:val="Heading5"/>
        <w:numPr>
          <w:ilvl w:val="2"/>
          <w:numId w:val="25"/>
        </w:numPr>
        <w:jc w:val="both"/>
        <w:rPr>
          <w:rFonts w:cs="Times New Roman"/>
          <w:lang w:val="ro-RO"/>
        </w:rPr>
      </w:pPr>
      <w:r w:rsidRPr="00335D95">
        <w:rPr>
          <w:lang w:val="ro-RO"/>
        </w:rPr>
        <w:t>Dezvoltarea economiei sociale şi creşterea gradului de participare a tinerilor în cadrul acesteia.</w:t>
      </w:r>
    </w:p>
    <w:p w:rsidR="00C76ED0" w:rsidRDefault="00C76ED0" w:rsidP="00B12674">
      <w:pPr>
        <w:pStyle w:val="Heading6"/>
        <w:jc w:val="both"/>
        <w:rPr>
          <w:lang w:val="ro-RO"/>
        </w:rPr>
      </w:pPr>
    </w:p>
    <w:p w:rsidR="00B50A36" w:rsidRDefault="00B50A36" w:rsidP="00B12674">
      <w:pPr>
        <w:pStyle w:val="Heading6"/>
        <w:jc w:val="both"/>
        <w:rPr>
          <w:rFonts w:cs="Times New Roman"/>
          <w:lang w:val="ro-RO"/>
        </w:rPr>
      </w:pPr>
      <w:r w:rsidRPr="00335D95">
        <w:rPr>
          <w:lang w:val="ro-RO"/>
        </w:rPr>
        <w:t>Direcţii de acţiune:</w:t>
      </w:r>
    </w:p>
    <w:p w:rsidR="00B50A36" w:rsidRPr="00335D95" w:rsidRDefault="00B50A36" w:rsidP="00B12674">
      <w:pPr>
        <w:pStyle w:val="ColorfulList-Accent11"/>
        <w:numPr>
          <w:ilvl w:val="1"/>
          <w:numId w:val="10"/>
        </w:numPr>
        <w:ind w:left="360"/>
        <w:jc w:val="both"/>
        <w:rPr>
          <w:lang w:val="ro-RO"/>
        </w:rPr>
      </w:pPr>
      <w:r w:rsidRPr="00335D95">
        <w:rPr>
          <w:lang w:val="ro-RO"/>
        </w:rPr>
        <w:t>Exploatarea potenţialului modelelor de economie socială pentru susţinerea integrării pe piaţa muncii a tinerilor din grupuri vulnerabile, dezvoltarea de servicii locale acolo unde modelele de piaţă eșuează, creând astfel locuri de muncă și incluziune socială;</w:t>
      </w:r>
    </w:p>
    <w:p w:rsidR="00B50A36" w:rsidRPr="00335D95" w:rsidRDefault="00B50A36" w:rsidP="00B12674">
      <w:pPr>
        <w:pStyle w:val="ColorfulList-Accent11"/>
        <w:numPr>
          <w:ilvl w:val="1"/>
          <w:numId w:val="10"/>
        </w:numPr>
        <w:ind w:left="360"/>
        <w:jc w:val="both"/>
        <w:rPr>
          <w:lang w:val="ro-RO"/>
        </w:rPr>
      </w:pPr>
      <w:r w:rsidRPr="00335D95">
        <w:rPr>
          <w:lang w:val="ro-RO"/>
        </w:rPr>
        <w:t>Promovarea şi susţinerea întreprinderilor sociale gestionate de tineri;</w:t>
      </w:r>
    </w:p>
    <w:p w:rsidR="00B50A36" w:rsidRPr="00335D95" w:rsidRDefault="00B50A36" w:rsidP="00B12674">
      <w:pPr>
        <w:pStyle w:val="ColorfulList-Accent11"/>
        <w:numPr>
          <w:ilvl w:val="1"/>
          <w:numId w:val="10"/>
        </w:numPr>
        <w:ind w:left="360"/>
        <w:jc w:val="both"/>
        <w:rPr>
          <w:lang w:val="ro-RO"/>
        </w:rPr>
      </w:pPr>
      <w:r w:rsidRPr="00335D95">
        <w:rPr>
          <w:lang w:val="ro-RO"/>
        </w:rPr>
        <w:t>Crearea și oferirea de servicii de consultanţă, în vederea îmbunătăţirii performanţei economice și de mediu a economiei sociale;</w:t>
      </w:r>
    </w:p>
    <w:p w:rsidR="00B50A36" w:rsidRPr="00335D95" w:rsidRDefault="00B50A36" w:rsidP="00B12674">
      <w:pPr>
        <w:pStyle w:val="ColorfulList-Accent11"/>
        <w:numPr>
          <w:ilvl w:val="1"/>
          <w:numId w:val="10"/>
        </w:numPr>
        <w:ind w:left="360"/>
        <w:jc w:val="both"/>
        <w:rPr>
          <w:lang w:val="ro-RO"/>
        </w:rPr>
      </w:pPr>
      <w:r w:rsidRPr="00335D95">
        <w:rPr>
          <w:lang w:val="ro-RO"/>
        </w:rPr>
        <w:t>Reglementarea cadrului legal (</w:t>
      </w:r>
      <w:r w:rsidRPr="00335D95">
        <w:rPr>
          <w:color w:val="000000"/>
          <w:shd w:val="clear" w:color="auto" w:fill="FFFFFF"/>
          <w:lang w:val="ro-RO"/>
        </w:rPr>
        <w:t>Legea Antreprenorului Social, Legea Cadru a economiei sociale)</w:t>
      </w:r>
      <w:r w:rsidRPr="00335D95">
        <w:rPr>
          <w:rStyle w:val="apple-converted-space"/>
          <w:rFonts w:ascii="Arial" w:hAnsi="Arial" w:cs="Arial"/>
          <w:color w:val="000000"/>
          <w:shd w:val="clear" w:color="auto" w:fill="FFFFFF"/>
          <w:lang w:val="ro-RO"/>
        </w:rPr>
        <w:t> </w:t>
      </w:r>
      <w:r w:rsidRPr="00335D95">
        <w:rPr>
          <w:lang w:val="ro-RO"/>
        </w:rPr>
        <w:t xml:space="preserve"> pentru implementarea şi dezvoltarea economiei sociale.</w:t>
      </w:r>
    </w:p>
    <w:p w:rsidR="00B50A36" w:rsidRDefault="00B50A36" w:rsidP="00B12674">
      <w:pPr>
        <w:pStyle w:val="ColorfulList-Accent11"/>
        <w:ind w:left="0"/>
        <w:jc w:val="both"/>
        <w:rPr>
          <w:sz w:val="24"/>
          <w:szCs w:val="24"/>
          <w:lang w:val="ro-RO"/>
        </w:rPr>
      </w:pPr>
    </w:p>
    <w:p w:rsidR="00442ABA" w:rsidRDefault="00442ABA" w:rsidP="00B12674">
      <w:pPr>
        <w:pStyle w:val="ColorfulList-Accent11"/>
        <w:ind w:left="0"/>
        <w:jc w:val="both"/>
        <w:rPr>
          <w:sz w:val="24"/>
          <w:szCs w:val="24"/>
          <w:lang w:val="ro-RO"/>
        </w:rPr>
      </w:pPr>
    </w:p>
    <w:p w:rsidR="00442ABA" w:rsidRDefault="00442ABA" w:rsidP="00B12674">
      <w:pPr>
        <w:pStyle w:val="ColorfulList-Accent11"/>
        <w:ind w:left="0"/>
        <w:jc w:val="both"/>
        <w:rPr>
          <w:sz w:val="24"/>
          <w:szCs w:val="24"/>
          <w:lang w:val="ro-RO"/>
        </w:rPr>
      </w:pPr>
    </w:p>
    <w:p w:rsidR="00B50A36" w:rsidRDefault="00B50A36" w:rsidP="00B12674">
      <w:pPr>
        <w:pStyle w:val="Heading3"/>
        <w:numPr>
          <w:ilvl w:val="1"/>
          <w:numId w:val="25"/>
        </w:numPr>
        <w:jc w:val="both"/>
        <w:rPr>
          <w:lang w:val="ro-RO"/>
        </w:rPr>
      </w:pPr>
      <w:bookmarkStart w:id="89" w:name="_Toc370211882"/>
      <w:r>
        <w:rPr>
          <w:lang w:val="ro-RO"/>
        </w:rPr>
        <w:lastRenderedPageBreak/>
        <w:t>Antreprenoriat</w:t>
      </w:r>
      <w:bookmarkEnd w:id="89"/>
    </w:p>
    <w:p w:rsidR="00B50A36" w:rsidRDefault="00B50A36" w:rsidP="00B12674">
      <w:pPr>
        <w:jc w:val="both"/>
        <w:rPr>
          <w:lang w:val="ro-RO"/>
        </w:rPr>
      </w:pPr>
    </w:p>
    <w:p w:rsidR="00B50A36" w:rsidRDefault="00B50A36" w:rsidP="00B12674">
      <w:pPr>
        <w:pStyle w:val="Heading4"/>
        <w:jc w:val="both"/>
        <w:rPr>
          <w:lang w:val="ro-RO"/>
        </w:rPr>
      </w:pPr>
      <w:r>
        <w:rPr>
          <w:lang w:val="ro-RO"/>
        </w:rPr>
        <w:t>Obiective specifice şi direcţii de acţiune</w:t>
      </w:r>
    </w:p>
    <w:p w:rsidR="00B50A36" w:rsidRDefault="00B50A36" w:rsidP="00B12674">
      <w:pPr>
        <w:jc w:val="both"/>
        <w:rPr>
          <w:b/>
          <w:bCs/>
          <w:sz w:val="24"/>
          <w:szCs w:val="24"/>
          <w:u w:val="single"/>
          <w:lang w:val="ro-RO"/>
        </w:rPr>
      </w:pPr>
    </w:p>
    <w:p w:rsidR="00B50A36" w:rsidRDefault="00B50A36" w:rsidP="00B12674">
      <w:pPr>
        <w:pStyle w:val="Heading5"/>
        <w:numPr>
          <w:ilvl w:val="2"/>
          <w:numId w:val="25"/>
        </w:numPr>
        <w:jc w:val="both"/>
        <w:rPr>
          <w:lang w:val="ro-RO"/>
        </w:rPr>
      </w:pPr>
      <w:r>
        <w:rPr>
          <w:lang w:val="ro-RO"/>
        </w:rPr>
        <w:t>Creşterea gradului de auto-ocupare a tinerilor în domeniul afacerilor.</w:t>
      </w:r>
    </w:p>
    <w:p w:rsidR="00442ABA" w:rsidRDefault="00442ABA" w:rsidP="00B12674">
      <w:pPr>
        <w:pStyle w:val="Heading6"/>
        <w:jc w:val="both"/>
        <w:rPr>
          <w:lang w:val="ro-RO"/>
        </w:rPr>
      </w:pPr>
    </w:p>
    <w:p w:rsidR="00B50A36" w:rsidRDefault="00B50A36" w:rsidP="00B12674">
      <w:pPr>
        <w:pStyle w:val="Heading6"/>
        <w:jc w:val="both"/>
        <w:rPr>
          <w:rFonts w:cs="Times New Roman"/>
          <w:lang w:val="ro-RO"/>
        </w:rPr>
      </w:pPr>
      <w:r>
        <w:rPr>
          <w:lang w:val="ro-RO"/>
        </w:rPr>
        <w:t>Direcţii de acţiune:</w:t>
      </w:r>
    </w:p>
    <w:p w:rsidR="00B50A36" w:rsidRPr="005E018A" w:rsidRDefault="00B50A36" w:rsidP="00B12674">
      <w:pPr>
        <w:numPr>
          <w:ilvl w:val="0"/>
          <w:numId w:val="34"/>
        </w:numPr>
        <w:spacing w:before="120" w:after="0"/>
        <w:ind w:right="-720"/>
        <w:jc w:val="both"/>
        <w:rPr>
          <w:lang w:val="ro-RO"/>
        </w:rPr>
      </w:pPr>
      <w:r w:rsidRPr="005E018A">
        <w:rPr>
          <w:lang w:val="ro-RO"/>
        </w:rPr>
        <w:t>Aplicarea unor măsuri legislative şi dezvoltarea unor programe de promovare a auto</w:t>
      </w:r>
      <w:r w:rsidRPr="005E018A">
        <w:rPr>
          <w:lang w:val="en-US"/>
        </w:rPr>
        <w:t>-</w:t>
      </w:r>
      <w:r w:rsidRPr="005E018A">
        <w:rPr>
          <w:lang w:val="ro-RO"/>
        </w:rPr>
        <w:t>ocupării adaptate nevoilor tinerilor;</w:t>
      </w:r>
    </w:p>
    <w:p w:rsidR="00B50A36" w:rsidRPr="005E018A" w:rsidRDefault="00B50A36" w:rsidP="00B12674">
      <w:pPr>
        <w:numPr>
          <w:ilvl w:val="0"/>
          <w:numId w:val="34"/>
        </w:numPr>
        <w:spacing w:before="120" w:after="0"/>
        <w:ind w:right="-720"/>
        <w:jc w:val="both"/>
        <w:rPr>
          <w:lang w:val="ro-RO"/>
        </w:rPr>
      </w:pPr>
      <w:r w:rsidRPr="00CB2378">
        <w:rPr>
          <w:lang w:val="ro-RO"/>
        </w:rPr>
        <w:t xml:space="preserve">Stimularea iniţierii de noi afaceri prin promovarea antreprenoriatului </w:t>
      </w:r>
      <w:r>
        <w:rPr>
          <w:lang w:val="ro-RO"/>
        </w:rPr>
        <w:t>î</w:t>
      </w:r>
      <w:r w:rsidRPr="00CB2378">
        <w:rPr>
          <w:lang w:val="ro-RO"/>
        </w:rPr>
        <w:t>n şcoli şi universităţi;</w:t>
      </w:r>
    </w:p>
    <w:p w:rsidR="00B50A36" w:rsidRPr="005E018A" w:rsidRDefault="00B50A36" w:rsidP="00B12674">
      <w:pPr>
        <w:numPr>
          <w:ilvl w:val="0"/>
          <w:numId w:val="34"/>
        </w:numPr>
        <w:spacing w:before="120" w:after="0"/>
        <w:ind w:right="-720"/>
        <w:jc w:val="both"/>
        <w:rPr>
          <w:lang w:val="ro-RO"/>
        </w:rPr>
      </w:pPr>
      <w:r w:rsidRPr="00CB2378">
        <w:rPr>
          <w:lang w:val="ro-RO"/>
        </w:rPr>
        <w:t>Oferirea unei palete de servicii mai variante pentru dezvoltarea carierei tinerilor, care să vină totodată şi în sprijin</w:t>
      </w:r>
      <w:r>
        <w:rPr>
          <w:lang w:val="ro-RO"/>
        </w:rPr>
        <w:t>ul</w:t>
      </w:r>
      <w:r w:rsidRPr="00CB2378">
        <w:rPr>
          <w:lang w:val="ro-RO"/>
        </w:rPr>
        <w:t xml:space="preserve"> dezvoltării economice la nivel naţional şi european;</w:t>
      </w:r>
    </w:p>
    <w:p w:rsidR="00B50A36" w:rsidRPr="005E018A" w:rsidRDefault="00B50A36" w:rsidP="00B12674">
      <w:pPr>
        <w:numPr>
          <w:ilvl w:val="0"/>
          <w:numId w:val="34"/>
        </w:numPr>
        <w:spacing w:before="120" w:after="0"/>
        <w:ind w:right="-720"/>
        <w:jc w:val="both"/>
        <w:rPr>
          <w:lang w:val="ro-RO"/>
        </w:rPr>
      </w:pPr>
      <w:r w:rsidRPr="00CB2378">
        <w:rPr>
          <w:lang w:val="ro-RO"/>
        </w:rPr>
        <w:t>Facilitarea şi sprijinirea dezvoltării talentului şi aptitudinilor antreprenoriale ale tinerilor;</w:t>
      </w:r>
    </w:p>
    <w:p w:rsidR="00B50A36" w:rsidRPr="005E018A" w:rsidRDefault="00B50A36" w:rsidP="00B12674">
      <w:pPr>
        <w:numPr>
          <w:ilvl w:val="0"/>
          <w:numId w:val="34"/>
        </w:numPr>
        <w:spacing w:before="120" w:after="0"/>
        <w:ind w:right="-720"/>
        <w:jc w:val="both"/>
        <w:rPr>
          <w:lang w:val="ro-RO"/>
        </w:rPr>
      </w:pPr>
      <w:r w:rsidRPr="00CB2378">
        <w:rPr>
          <w:lang w:val="ro-RO"/>
        </w:rPr>
        <w:t>Stimularea şi sprijinirea demarării şi dezvoltării firmelor nou-înfiinţate (start-up-uri) prin facilitarea accesului acestora la finanţare;</w:t>
      </w:r>
    </w:p>
    <w:p w:rsidR="00B50A36" w:rsidRPr="005E018A" w:rsidRDefault="00B50A36" w:rsidP="00B12674">
      <w:pPr>
        <w:numPr>
          <w:ilvl w:val="0"/>
          <w:numId w:val="34"/>
        </w:numPr>
        <w:spacing w:after="0" w:line="240" w:lineRule="auto"/>
        <w:jc w:val="both"/>
        <w:rPr>
          <w:lang w:val="ro-RO"/>
        </w:rPr>
      </w:pPr>
      <w:r w:rsidRPr="00CB2378">
        <w:rPr>
          <w:lang w:val="ro-RO"/>
        </w:rPr>
        <w:t>Crearea de programe de formare în afaceri pentru şomerii tineri, care includ etape clar definite: profilare, planificare, punere în func</w:t>
      </w:r>
      <w:r>
        <w:rPr>
          <w:lang w:val="ro-RO"/>
        </w:rPr>
        <w:t>ţ</w:t>
      </w:r>
      <w:r w:rsidRPr="00CB2378">
        <w:rPr>
          <w:lang w:val="ro-RO"/>
        </w:rPr>
        <w:t xml:space="preserve">iune, consolidare </w:t>
      </w:r>
      <w:r w:rsidRPr="003133BA">
        <w:rPr>
          <w:lang w:val="ro-RO"/>
        </w:rPr>
        <w:t>ș</w:t>
      </w:r>
      <w:r w:rsidRPr="00CB2378">
        <w:rPr>
          <w:lang w:val="ro-RO"/>
        </w:rPr>
        <w:t>i cre</w:t>
      </w:r>
      <w:r w:rsidRPr="003133BA">
        <w:rPr>
          <w:lang w:val="ro-RO"/>
        </w:rPr>
        <w:t>ș</w:t>
      </w:r>
      <w:r w:rsidRPr="00CB2378">
        <w:rPr>
          <w:lang w:val="ro-RO"/>
        </w:rPr>
        <w:t xml:space="preserve">tere, în fiecare etapă oferind un meniu variabil de servicii (consiliere, formare </w:t>
      </w:r>
      <w:r w:rsidRPr="003133BA">
        <w:rPr>
          <w:lang w:val="ro-RO"/>
        </w:rPr>
        <w:t>ș</w:t>
      </w:r>
      <w:r w:rsidRPr="00CB2378">
        <w:rPr>
          <w:lang w:val="ro-RO"/>
        </w:rPr>
        <w:t xml:space="preserve">i calificare, consiliere </w:t>
      </w:r>
      <w:r w:rsidRPr="003133BA">
        <w:rPr>
          <w:lang w:val="ro-RO"/>
        </w:rPr>
        <w:t>ș</w:t>
      </w:r>
      <w:r w:rsidRPr="00CB2378">
        <w:rPr>
          <w:lang w:val="ro-RO"/>
        </w:rPr>
        <w:t xml:space="preserve">i accesul la microcredite), în parteneriat cu tinerii </w:t>
      </w:r>
      <w:r w:rsidRPr="003133BA">
        <w:rPr>
          <w:lang w:val="ro-RO"/>
        </w:rPr>
        <w:t>ș</w:t>
      </w:r>
      <w:r w:rsidRPr="00CB2378">
        <w:rPr>
          <w:lang w:val="ro-RO"/>
        </w:rPr>
        <w:t>i alte organiza</w:t>
      </w:r>
      <w:r>
        <w:rPr>
          <w:lang w:val="ro-RO"/>
        </w:rPr>
        <w:t>ţ</w:t>
      </w:r>
      <w:r w:rsidRPr="00CB2378">
        <w:rPr>
          <w:lang w:val="ro-RO"/>
        </w:rPr>
        <w:t xml:space="preserve">ii, consilieri în afaceri </w:t>
      </w:r>
      <w:r w:rsidRPr="003133BA">
        <w:rPr>
          <w:lang w:val="ro-RO"/>
        </w:rPr>
        <w:t>ș</w:t>
      </w:r>
      <w:r w:rsidRPr="00CB2378">
        <w:rPr>
          <w:lang w:val="ro-RO"/>
        </w:rPr>
        <w:t>i institu</w:t>
      </w:r>
      <w:r>
        <w:rPr>
          <w:lang w:val="ro-RO"/>
        </w:rPr>
        <w:t>ţ</w:t>
      </w:r>
      <w:r w:rsidRPr="00CB2378">
        <w:rPr>
          <w:lang w:val="ro-RO"/>
        </w:rPr>
        <w:t>iile financiare;</w:t>
      </w:r>
    </w:p>
    <w:p w:rsidR="00B50A36" w:rsidRPr="005E018A" w:rsidRDefault="00B50A36" w:rsidP="00B12674">
      <w:pPr>
        <w:numPr>
          <w:ilvl w:val="0"/>
          <w:numId w:val="34"/>
        </w:numPr>
        <w:spacing w:after="0" w:line="240" w:lineRule="auto"/>
        <w:jc w:val="both"/>
        <w:rPr>
          <w:lang w:val="ro-RO"/>
        </w:rPr>
      </w:pPr>
      <w:r w:rsidRPr="00CB2378">
        <w:rPr>
          <w:lang w:val="ro-RO"/>
        </w:rPr>
        <w:t>Lansarea programelor active pe pia</w:t>
      </w:r>
      <w:r>
        <w:rPr>
          <w:lang w:val="ro-RO"/>
        </w:rPr>
        <w:t>ţ</w:t>
      </w:r>
      <w:r w:rsidRPr="00CB2378">
        <w:rPr>
          <w:lang w:val="ro-RO"/>
        </w:rPr>
        <w:t xml:space="preserve">a muncii care oferă sprijin financiar pentru </w:t>
      </w:r>
      <w:r w:rsidRPr="003133BA">
        <w:rPr>
          <w:lang w:val="ro-RO"/>
        </w:rPr>
        <w:t>ș</w:t>
      </w:r>
      <w:r w:rsidRPr="00CB2378">
        <w:rPr>
          <w:lang w:val="ro-RO"/>
        </w:rPr>
        <w:t>omerii tineri în vederea demarării unei afaceri;</w:t>
      </w:r>
    </w:p>
    <w:p w:rsidR="00B50A36" w:rsidRPr="005E018A" w:rsidRDefault="00B50A36" w:rsidP="00B12674">
      <w:pPr>
        <w:numPr>
          <w:ilvl w:val="0"/>
          <w:numId w:val="34"/>
        </w:numPr>
        <w:spacing w:after="0" w:line="240" w:lineRule="auto"/>
        <w:jc w:val="both"/>
        <w:rPr>
          <w:lang w:val="ro-RO"/>
        </w:rPr>
      </w:pPr>
      <w:r w:rsidRPr="00CB2378">
        <w:rPr>
          <w:lang w:val="ro-RO"/>
        </w:rPr>
        <w:t>Conectarea serviciilor publice de ocupare, cu servicii de asistenţă şi micro-furnizori de finanţare pentru a ajuta şomerii tineri să îşi dezvolte o carieră în antreprenoriat;</w:t>
      </w:r>
    </w:p>
    <w:p w:rsidR="00B50A36" w:rsidRPr="005E018A" w:rsidRDefault="00B50A36" w:rsidP="00B12674">
      <w:pPr>
        <w:numPr>
          <w:ilvl w:val="0"/>
          <w:numId w:val="34"/>
        </w:numPr>
        <w:spacing w:after="0" w:line="240" w:lineRule="auto"/>
        <w:jc w:val="both"/>
        <w:rPr>
          <w:lang w:val="ro-RO"/>
        </w:rPr>
      </w:pPr>
      <w:r w:rsidRPr="00CB2378">
        <w:rPr>
          <w:lang w:val="ro-RO"/>
        </w:rPr>
        <w:t>Introducere până la sfârşitul anului 2015, a competen</w:t>
      </w:r>
      <w:r>
        <w:rPr>
          <w:lang w:val="ro-RO"/>
        </w:rPr>
        <w:t>ţ</w:t>
      </w:r>
      <w:r w:rsidRPr="00CB2378">
        <w:rPr>
          <w:lang w:val="ro-RO"/>
        </w:rPr>
        <w:t>ei cheie "spiritul antreprenorial" în curricula de studiu în învă</w:t>
      </w:r>
      <w:r>
        <w:rPr>
          <w:lang w:val="ro-RO"/>
        </w:rPr>
        <w:t>ţ</w:t>
      </w:r>
      <w:r w:rsidRPr="00CB2378">
        <w:rPr>
          <w:lang w:val="ro-RO"/>
        </w:rPr>
        <w:t xml:space="preserve">ământul primar, gimnazial, profesional, superior </w:t>
      </w:r>
      <w:r w:rsidRPr="003133BA">
        <w:rPr>
          <w:lang w:val="ro-RO"/>
        </w:rPr>
        <w:t>ș</w:t>
      </w:r>
      <w:r w:rsidRPr="00CB2378">
        <w:rPr>
          <w:lang w:val="ro-RO"/>
        </w:rPr>
        <w:t>i în educa</w:t>
      </w:r>
      <w:r>
        <w:rPr>
          <w:lang w:val="ro-RO"/>
        </w:rPr>
        <w:t>ţ</w:t>
      </w:r>
      <w:r w:rsidRPr="00CB2378">
        <w:rPr>
          <w:lang w:val="ro-RO"/>
        </w:rPr>
        <w:t>ia adul</w:t>
      </w:r>
      <w:r>
        <w:rPr>
          <w:lang w:val="ro-RO"/>
        </w:rPr>
        <w:t>ţ</w:t>
      </w:r>
      <w:r w:rsidRPr="00CB2378">
        <w:rPr>
          <w:lang w:val="ro-RO"/>
        </w:rPr>
        <w:t>ilor;</w:t>
      </w:r>
    </w:p>
    <w:p w:rsidR="00B50A36" w:rsidRPr="005E018A" w:rsidRDefault="00B50A36" w:rsidP="00B12674">
      <w:pPr>
        <w:pStyle w:val="ColorfulList-Accent11"/>
        <w:numPr>
          <w:ilvl w:val="0"/>
          <w:numId w:val="34"/>
        </w:numPr>
        <w:jc w:val="both"/>
        <w:rPr>
          <w:lang w:val="ro-RO"/>
        </w:rPr>
      </w:pPr>
      <w:r w:rsidRPr="005E018A">
        <w:rPr>
          <w:lang w:val="ro-RO"/>
        </w:rPr>
        <w:t>Realizarea de ac</w:t>
      </w:r>
      <w:r>
        <w:rPr>
          <w:lang w:val="ro-RO"/>
        </w:rPr>
        <w:t>ţ</w:t>
      </w:r>
      <w:r w:rsidRPr="005E018A">
        <w:rPr>
          <w:lang w:val="ro-RO"/>
        </w:rPr>
        <w:t>iuni pentru promovarea programelor de antreprenoriat pentru tineri, inclusiv prin dezvoltarea de platforme web.</w:t>
      </w:r>
    </w:p>
    <w:p w:rsidR="00B50A36" w:rsidRDefault="00B50A36" w:rsidP="00B12674">
      <w:pPr>
        <w:spacing w:after="0" w:line="240" w:lineRule="auto"/>
        <w:jc w:val="both"/>
        <w:rPr>
          <w:lang w:val="ro-RO"/>
        </w:rPr>
      </w:pPr>
    </w:p>
    <w:p w:rsidR="00B50A36" w:rsidRPr="00EC776F" w:rsidRDefault="00B50A36" w:rsidP="00B12674">
      <w:pPr>
        <w:pStyle w:val="Heading5"/>
        <w:numPr>
          <w:ilvl w:val="2"/>
          <w:numId w:val="25"/>
        </w:numPr>
        <w:jc w:val="both"/>
        <w:rPr>
          <w:lang w:val="ro-RO"/>
        </w:rPr>
      </w:pPr>
      <w:r w:rsidRPr="00EC776F">
        <w:rPr>
          <w:lang w:val="ro-RO"/>
        </w:rPr>
        <w:t>Creşterea gradului de auto-ocupare a tinerilor în domeniul afacerilor în mediul rural.</w:t>
      </w:r>
    </w:p>
    <w:p w:rsidR="00B50A36" w:rsidRDefault="00B50A36" w:rsidP="00B12674">
      <w:pPr>
        <w:spacing w:after="0" w:line="240" w:lineRule="auto"/>
        <w:jc w:val="both"/>
        <w:rPr>
          <w:lang w:val="ro-RO"/>
        </w:rPr>
      </w:pPr>
    </w:p>
    <w:p w:rsidR="00442ABA" w:rsidRDefault="00442ABA" w:rsidP="00B12674">
      <w:pPr>
        <w:spacing w:after="0" w:line="240" w:lineRule="auto"/>
        <w:jc w:val="both"/>
        <w:rPr>
          <w:lang w:val="ro-RO"/>
        </w:rPr>
      </w:pPr>
    </w:p>
    <w:p w:rsidR="00B50A36" w:rsidRDefault="00B50A36" w:rsidP="00442ABA">
      <w:pPr>
        <w:pStyle w:val="Heading6"/>
        <w:rPr>
          <w:lang w:val="ro-RO"/>
        </w:rPr>
      </w:pPr>
      <w:r>
        <w:rPr>
          <w:lang w:val="ro-RO"/>
        </w:rPr>
        <w:t>Direcţii de acţiune:</w:t>
      </w:r>
    </w:p>
    <w:p w:rsidR="00B50A36" w:rsidRPr="00EC776F" w:rsidRDefault="00B50A36" w:rsidP="00B12674">
      <w:pPr>
        <w:numPr>
          <w:ilvl w:val="0"/>
          <w:numId w:val="39"/>
        </w:numPr>
        <w:spacing w:before="120" w:after="0"/>
        <w:ind w:right="-720"/>
        <w:jc w:val="both"/>
        <w:rPr>
          <w:lang w:val="ro-RO"/>
        </w:rPr>
      </w:pPr>
      <w:r w:rsidRPr="00EC776F">
        <w:rPr>
          <w:lang w:val="ro-RO"/>
        </w:rPr>
        <w:t>Promovarea accesării de către tineri a fondurilor destinate domeniului agriculturii, pescuitului, silviculturii, etc. în vederea dezvoltării de afaceri în mediul rural;</w:t>
      </w:r>
    </w:p>
    <w:p w:rsidR="00B50A36" w:rsidRPr="00EC776F" w:rsidRDefault="00B50A36" w:rsidP="00B12674">
      <w:pPr>
        <w:numPr>
          <w:ilvl w:val="0"/>
          <w:numId w:val="39"/>
        </w:numPr>
        <w:spacing w:before="120" w:after="0"/>
        <w:ind w:right="-720"/>
        <w:jc w:val="both"/>
        <w:rPr>
          <w:lang w:val="ro-RO"/>
        </w:rPr>
      </w:pPr>
      <w:r w:rsidRPr="00EC776F">
        <w:rPr>
          <w:lang w:val="ro-RO"/>
        </w:rPr>
        <w:t xml:space="preserve"> Înfiinţarea unor grupuri operative de tineri (fermieri, cercetători, consultanţi), care vor participa la Parteneriatul European  pentru Inovare „Productivitatea și durabilitatea agriculturii” ;</w:t>
      </w:r>
    </w:p>
    <w:p w:rsidR="00B50A36" w:rsidRPr="00EC776F" w:rsidRDefault="00B50A36" w:rsidP="00B12674">
      <w:pPr>
        <w:numPr>
          <w:ilvl w:val="0"/>
          <w:numId w:val="39"/>
        </w:numPr>
        <w:spacing w:before="120" w:after="0"/>
        <w:ind w:right="-720"/>
        <w:jc w:val="both"/>
        <w:rPr>
          <w:lang w:val="ro-RO"/>
        </w:rPr>
      </w:pPr>
      <w:r w:rsidRPr="00EC776F">
        <w:rPr>
          <w:lang w:val="ro-RO"/>
        </w:rPr>
        <w:lastRenderedPageBreak/>
        <w:t>Promovarea de noi surse de venit pentru tinerii din mediul rural în interiorul sectorului (activităţi de procesare, de marketing) și în afara acestuia (activităţi ecologice, turism, educaţie) ;</w:t>
      </w:r>
    </w:p>
    <w:p w:rsidR="00B50A36" w:rsidRPr="00EC776F" w:rsidRDefault="00B50A36" w:rsidP="00B12674">
      <w:pPr>
        <w:numPr>
          <w:ilvl w:val="0"/>
          <w:numId w:val="39"/>
        </w:numPr>
        <w:spacing w:before="120" w:after="0"/>
        <w:ind w:right="-720"/>
        <w:jc w:val="both"/>
        <w:rPr>
          <w:lang w:val="ro-RO"/>
        </w:rPr>
      </w:pPr>
      <w:r w:rsidRPr="00EC776F">
        <w:rPr>
          <w:lang w:val="ro-RO"/>
        </w:rPr>
        <w:t>Sprijinirea activităţilor demonstrative pentru transferul de cunoștinţe referitoare la noile practici în domeniu; informare, schimburi pe termen scurt și vizite în interiorul UE în scopul promovării schimbului de bune practici pentru tinerii din mediul rural;</w:t>
      </w:r>
    </w:p>
    <w:p w:rsidR="00B50A36" w:rsidRPr="00EC776F" w:rsidRDefault="00B50A36" w:rsidP="00B12674">
      <w:pPr>
        <w:numPr>
          <w:ilvl w:val="0"/>
          <w:numId w:val="39"/>
        </w:numPr>
        <w:spacing w:before="120" w:after="0"/>
        <w:ind w:right="-720"/>
        <w:jc w:val="both"/>
        <w:rPr>
          <w:lang w:val="ro-RO"/>
        </w:rPr>
      </w:pPr>
      <w:r w:rsidRPr="00EC776F">
        <w:rPr>
          <w:lang w:val="ro-RO"/>
        </w:rPr>
        <w:t>Crearea și oferirea de servicii de consultanţă, în vederea îmbunătăţirii performanţei economice și de mediu pentru tinerii din mediul rural.</w:t>
      </w:r>
    </w:p>
    <w:p w:rsidR="00B50A36" w:rsidRDefault="00B50A36" w:rsidP="00B12674">
      <w:pPr>
        <w:spacing w:after="0" w:line="240" w:lineRule="auto"/>
        <w:jc w:val="both"/>
        <w:rPr>
          <w:sz w:val="24"/>
          <w:szCs w:val="24"/>
          <w:lang w:val="ro-RO"/>
        </w:rPr>
      </w:pPr>
    </w:p>
    <w:p w:rsidR="00B50A36" w:rsidRDefault="00B50A36" w:rsidP="00B12674">
      <w:pPr>
        <w:pStyle w:val="Heading5"/>
        <w:numPr>
          <w:ilvl w:val="2"/>
          <w:numId w:val="25"/>
        </w:numPr>
        <w:jc w:val="both"/>
        <w:rPr>
          <w:lang w:val="ro-RO"/>
        </w:rPr>
      </w:pPr>
      <w:r>
        <w:rPr>
          <w:lang w:val="ro-RO"/>
        </w:rPr>
        <w:t>Promovarea antreprenoriatului, la toate nivelele educaţiei şi formării tinerilor.</w:t>
      </w:r>
    </w:p>
    <w:p w:rsidR="00B50A36" w:rsidRDefault="00B50A36" w:rsidP="00B12674">
      <w:pPr>
        <w:pStyle w:val="Normal1"/>
        <w:jc w:val="both"/>
        <w:rPr>
          <w:rFonts w:ascii="Calibri" w:hAnsi="Calibri" w:cs="Calibri"/>
          <w:color w:val="auto"/>
          <w:sz w:val="24"/>
          <w:szCs w:val="24"/>
          <w:lang w:val="ro-RO"/>
        </w:rPr>
      </w:pPr>
    </w:p>
    <w:p w:rsidR="00B50A36" w:rsidRDefault="00B50A36" w:rsidP="00B12674">
      <w:pPr>
        <w:pStyle w:val="Heading6"/>
        <w:jc w:val="both"/>
        <w:rPr>
          <w:rFonts w:cs="Times New Roman"/>
          <w:lang w:val="ro-RO"/>
        </w:rPr>
      </w:pPr>
      <w:r>
        <w:rPr>
          <w:lang w:val="ro-RO"/>
        </w:rPr>
        <w:t xml:space="preserve">Direcţii de acţiune:  </w:t>
      </w:r>
    </w:p>
    <w:p w:rsidR="00B50A36" w:rsidRDefault="00B50A36" w:rsidP="00442ABA">
      <w:pPr>
        <w:numPr>
          <w:ilvl w:val="0"/>
          <w:numId w:val="49"/>
        </w:numPr>
        <w:spacing w:before="120" w:after="0"/>
        <w:ind w:right="-720"/>
        <w:jc w:val="both"/>
        <w:rPr>
          <w:lang w:val="ro-RO"/>
        </w:rPr>
      </w:pPr>
      <w:r w:rsidRPr="0058567A">
        <w:rPr>
          <w:lang w:val="ro-RO"/>
        </w:rPr>
        <w:t>Asigurarea dobândirii de competenţe transversale precum competenţele digitale, învăţarea de a învăţa, simţul iniţiativei şi antreprenoriatului, cunoaşterea şi înţelegerea aspectelor culturale prin programe special create, noţiuni de gestionare a unei afaceri</w:t>
      </w:r>
      <w:r w:rsidRPr="00D46AE7">
        <w:rPr>
          <w:lang w:val="ro-RO"/>
        </w:rPr>
        <w:t>;</w:t>
      </w:r>
    </w:p>
    <w:p w:rsidR="00B50A36" w:rsidRDefault="00B50A36" w:rsidP="00442ABA">
      <w:pPr>
        <w:numPr>
          <w:ilvl w:val="0"/>
          <w:numId w:val="49"/>
        </w:numPr>
        <w:spacing w:before="120" w:after="0"/>
        <w:ind w:right="-720"/>
        <w:jc w:val="both"/>
        <w:rPr>
          <w:lang w:val="ro-RO"/>
        </w:rPr>
      </w:pPr>
      <w:r w:rsidRPr="0058567A">
        <w:rPr>
          <w:lang w:val="ro-RO"/>
        </w:rPr>
        <w:t>Asigurarea funcţionalităţii triunghiului educaţie-cercetare-inovare prin susţinerea parteneriatului naţional şi internaţional dintre lumea întreprinderilor şi diferitele sectoare şi nivele ale educaţiei, formării şi cercetării pentru asigurarea adecvării competenţelor şi aptitudinilor formate în şcoală la nevoile pieţei muncii, dar şi pentru creşterea accentului pe inovare şi antreprenoriat în toate formele de învăţare</w:t>
      </w:r>
      <w:r w:rsidRPr="00D46AE7">
        <w:rPr>
          <w:lang w:val="ro-RO"/>
        </w:rPr>
        <w:t>;</w:t>
      </w:r>
    </w:p>
    <w:p w:rsidR="00B50A36" w:rsidRDefault="00B50A36" w:rsidP="00442ABA">
      <w:pPr>
        <w:numPr>
          <w:ilvl w:val="0"/>
          <w:numId w:val="49"/>
        </w:numPr>
        <w:spacing w:before="120" w:after="0"/>
        <w:ind w:right="-720"/>
        <w:jc w:val="both"/>
        <w:rPr>
          <w:lang w:val="ro-RO"/>
        </w:rPr>
      </w:pPr>
      <w:r w:rsidRPr="0058567A">
        <w:rPr>
          <w:lang w:val="ro-RO"/>
        </w:rPr>
        <w:t>Oferirea posibilităţii tinerilor de a avea cel pu</w:t>
      </w:r>
      <w:r>
        <w:rPr>
          <w:lang w:val="ro-RO"/>
        </w:rPr>
        <w:t>ţ</w:t>
      </w:r>
      <w:r w:rsidRPr="0058567A">
        <w:rPr>
          <w:lang w:val="ro-RO"/>
        </w:rPr>
        <w:t>in o experienţă practică de antreprenoriat înainte de vârsta de 26 ani, sau chiar înainte de a pleca din învăţământul obligatoriu, cum ar fi  rularea unei mini-companii, responsabilitatea unui proiect antreprenorial pentru o companie sau un proiect social</w:t>
      </w:r>
      <w:r w:rsidRPr="00D46AE7">
        <w:rPr>
          <w:lang w:val="ro-RO"/>
        </w:rPr>
        <w:t>;</w:t>
      </w:r>
    </w:p>
    <w:p w:rsidR="00B50A36" w:rsidRDefault="00B50A36" w:rsidP="00442ABA">
      <w:pPr>
        <w:numPr>
          <w:ilvl w:val="0"/>
          <w:numId w:val="49"/>
        </w:numPr>
        <w:spacing w:before="120" w:after="0"/>
        <w:ind w:right="-720"/>
        <w:jc w:val="both"/>
        <w:rPr>
          <w:lang w:val="ro-RO"/>
        </w:rPr>
      </w:pPr>
      <w:r w:rsidRPr="0058567A">
        <w:rPr>
          <w:lang w:val="ro-RO"/>
        </w:rPr>
        <w:t>Pregătire antreprenorială pentru tineri prin intermediul resurselor fondurilor structurale (Fondul Social European, Fondul European Agricol pentru Dezvoltare Rurală)</w:t>
      </w:r>
      <w:r w:rsidRPr="005E018A">
        <w:rPr>
          <w:lang w:val="ro-RO"/>
        </w:rPr>
        <w:t xml:space="preserve"> </w:t>
      </w:r>
      <w:r w:rsidRPr="00D46AE7">
        <w:rPr>
          <w:lang w:val="ro-RO"/>
        </w:rPr>
        <w:t>;</w:t>
      </w:r>
    </w:p>
    <w:p w:rsidR="00B50A36" w:rsidRDefault="00B50A36" w:rsidP="00442ABA">
      <w:pPr>
        <w:numPr>
          <w:ilvl w:val="0"/>
          <w:numId w:val="49"/>
        </w:numPr>
        <w:spacing w:before="120" w:after="0"/>
        <w:ind w:right="-720"/>
        <w:jc w:val="both"/>
        <w:rPr>
          <w:lang w:val="ro-RO"/>
        </w:rPr>
      </w:pPr>
      <w:r w:rsidRPr="0058567A">
        <w:rPr>
          <w:lang w:val="ro-RO"/>
        </w:rPr>
        <w:t>Promovarea de module de învă</w:t>
      </w:r>
      <w:r>
        <w:rPr>
          <w:lang w:val="ro-RO"/>
        </w:rPr>
        <w:t>ţ</w:t>
      </w:r>
      <w:r w:rsidRPr="0058567A">
        <w:rPr>
          <w:lang w:val="ro-RO"/>
        </w:rPr>
        <w:t>are antreprenorială pentru tinerii care participă la schemele de garan</w:t>
      </w:r>
      <w:r>
        <w:rPr>
          <w:lang w:val="ro-RO"/>
        </w:rPr>
        <w:t>ţie pentru tineret</w:t>
      </w:r>
      <w:r w:rsidRPr="0058567A">
        <w:rPr>
          <w:lang w:val="ro-RO"/>
        </w:rPr>
        <w:t>.</w:t>
      </w:r>
    </w:p>
    <w:p w:rsidR="00B50A36" w:rsidRDefault="00B50A36" w:rsidP="00B12674">
      <w:pPr>
        <w:jc w:val="both"/>
        <w:rPr>
          <w:sz w:val="24"/>
          <w:szCs w:val="24"/>
          <w:lang w:val="ro-RO"/>
        </w:rPr>
      </w:pPr>
    </w:p>
    <w:p w:rsidR="00B50A36" w:rsidRDefault="00B50A36" w:rsidP="00B12674">
      <w:pPr>
        <w:pStyle w:val="Heading5"/>
        <w:numPr>
          <w:ilvl w:val="2"/>
          <w:numId w:val="25"/>
        </w:numPr>
        <w:jc w:val="both"/>
        <w:rPr>
          <w:lang w:val="ro-RO"/>
        </w:rPr>
      </w:pPr>
      <w:r>
        <w:rPr>
          <w:lang w:val="ro-RO"/>
        </w:rPr>
        <w:t>Facilitarea adaptării tinerilor întreprinzători la procesele de integrare europeană şi globalizare.</w:t>
      </w:r>
    </w:p>
    <w:p w:rsidR="00B50A36" w:rsidRDefault="00B50A36" w:rsidP="00B12674">
      <w:pPr>
        <w:pStyle w:val="ColorfulList-Accent11"/>
        <w:ind w:left="0"/>
        <w:jc w:val="both"/>
        <w:rPr>
          <w:sz w:val="24"/>
          <w:szCs w:val="24"/>
          <w:lang w:val="ro-RO"/>
        </w:rPr>
      </w:pPr>
    </w:p>
    <w:p w:rsidR="00B50A36" w:rsidRDefault="00B50A36" w:rsidP="00B12674">
      <w:pPr>
        <w:pStyle w:val="Heading6"/>
        <w:jc w:val="both"/>
        <w:rPr>
          <w:rFonts w:cs="Times New Roman"/>
          <w:lang w:val="ro-RO"/>
        </w:rPr>
      </w:pPr>
      <w:r>
        <w:rPr>
          <w:lang w:val="ro-RO"/>
        </w:rPr>
        <w:t>Direcţii de acţiune:</w:t>
      </w:r>
    </w:p>
    <w:p w:rsidR="00B50A36" w:rsidRPr="0058567A" w:rsidRDefault="00B50A36" w:rsidP="00B12674">
      <w:pPr>
        <w:pStyle w:val="BodyTextIndent"/>
        <w:numPr>
          <w:ilvl w:val="0"/>
          <w:numId w:val="36"/>
        </w:numPr>
        <w:spacing w:after="0"/>
        <w:jc w:val="both"/>
        <w:rPr>
          <w:rFonts w:ascii="Calibri" w:hAnsi="Calibri" w:cs="Calibri"/>
          <w:sz w:val="22"/>
          <w:szCs w:val="22"/>
        </w:rPr>
      </w:pPr>
      <w:r w:rsidRPr="0058567A">
        <w:rPr>
          <w:rFonts w:ascii="Calibri" w:hAnsi="Calibri" w:cs="Calibri"/>
          <w:sz w:val="22"/>
          <w:szCs w:val="22"/>
        </w:rPr>
        <w:t>Dezvoltarea aptitudinilor antreprenoriale bazate pe cunoaşterea şi gestionarea optimă a resurselor, în vederea adaptării rapide la rigorile determinate de globalizarea pieţelor</w:t>
      </w:r>
      <w:r w:rsidRPr="00D46AE7">
        <w:t>;</w:t>
      </w:r>
    </w:p>
    <w:p w:rsidR="00B50A36" w:rsidRPr="0058567A" w:rsidRDefault="00B50A36" w:rsidP="00B12674">
      <w:pPr>
        <w:numPr>
          <w:ilvl w:val="0"/>
          <w:numId w:val="36"/>
        </w:numPr>
        <w:spacing w:after="0" w:line="240" w:lineRule="auto"/>
        <w:jc w:val="both"/>
        <w:rPr>
          <w:lang w:val="ro-RO"/>
        </w:rPr>
      </w:pPr>
      <w:r w:rsidRPr="0058567A">
        <w:rPr>
          <w:lang w:val="ro-RO"/>
        </w:rPr>
        <w:lastRenderedPageBreak/>
        <w:t>Promovarea programului Erasmus pentru tinerii antreprenori</w:t>
      </w:r>
      <w:r w:rsidRPr="0058567A">
        <w:rPr>
          <w:rStyle w:val="FootnoteReference"/>
          <w:lang w:val="ro-RO"/>
        </w:rPr>
        <w:footnoteReference w:id="67"/>
      </w:r>
      <w:r w:rsidRPr="0058567A">
        <w:rPr>
          <w:lang w:val="ro-RO"/>
        </w:rPr>
        <w:t>, un program de schimb transfrontalier care oferă antreprenorilor noi sau aspiranţi şansa de a învăţa de la antreprenorii cu experienţă care conduc mici companii în alte ţări din Uniunea Europeană</w:t>
      </w:r>
      <w:r w:rsidRPr="00D46AE7">
        <w:rPr>
          <w:lang w:val="ro-RO"/>
        </w:rPr>
        <w:t>;</w:t>
      </w:r>
    </w:p>
    <w:p w:rsidR="00B50A36" w:rsidRPr="0058567A" w:rsidRDefault="00B50A36" w:rsidP="00B12674">
      <w:pPr>
        <w:pStyle w:val="BodyTextIndent"/>
        <w:numPr>
          <w:ilvl w:val="0"/>
          <w:numId w:val="36"/>
        </w:numPr>
        <w:spacing w:after="0"/>
        <w:jc w:val="both"/>
        <w:rPr>
          <w:rFonts w:ascii="Calibri" w:hAnsi="Calibri" w:cs="Calibri"/>
          <w:sz w:val="22"/>
          <w:szCs w:val="22"/>
        </w:rPr>
      </w:pPr>
      <w:r w:rsidRPr="0058567A">
        <w:rPr>
          <w:rFonts w:ascii="Calibri" w:hAnsi="Calibri" w:cs="Calibri"/>
          <w:sz w:val="22"/>
          <w:szCs w:val="22"/>
        </w:rPr>
        <w:t>Facilitarea accesului tinerilor la sursele de  finanţare pentru dezvoltare, prin servicii şi programe de consiliere şi consultanţă</w:t>
      </w:r>
      <w:r w:rsidRPr="00D46AE7">
        <w:t>;</w:t>
      </w:r>
    </w:p>
    <w:p w:rsidR="00B50A36" w:rsidRPr="0058567A" w:rsidRDefault="00B50A36" w:rsidP="00B12674">
      <w:pPr>
        <w:numPr>
          <w:ilvl w:val="0"/>
          <w:numId w:val="36"/>
        </w:numPr>
        <w:spacing w:after="0" w:line="240" w:lineRule="auto"/>
        <w:jc w:val="both"/>
        <w:rPr>
          <w:lang w:val="ro-RO"/>
        </w:rPr>
      </w:pPr>
      <w:r w:rsidRPr="0058567A">
        <w:rPr>
          <w:lang w:val="ro-RO"/>
        </w:rPr>
        <w:t xml:space="preserve">Dezvoltarea unei platforme dedicate analizei, creării unei metodologii comune şi a unui program de mentorat între antreprenori la nivel european. </w:t>
      </w:r>
    </w:p>
    <w:p w:rsidR="00DF75C3" w:rsidRDefault="00DF75C3" w:rsidP="00B12674">
      <w:pPr>
        <w:pStyle w:val="Heading1"/>
        <w:jc w:val="both"/>
        <w:rPr>
          <w:rFonts w:ascii="Calibri" w:eastAsia="Calibri" w:hAnsi="Calibri" w:cs="Calibri"/>
          <w:b w:val="0"/>
          <w:bCs w:val="0"/>
          <w:color w:val="auto"/>
          <w:sz w:val="22"/>
          <w:szCs w:val="22"/>
          <w:lang w:val="ro-RO"/>
        </w:rPr>
      </w:pPr>
    </w:p>
    <w:p w:rsidR="00B50A36" w:rsidRPr="00F473EE" w:rsidRDefault="00B50A36" w:rsidP="00B12674">
      <w:pPr>
        <w:pStyle w:val="Heading1"/>
        <w:jc w:val="both"/>
        <w:rPr>
          <w:rFonts w:cs="Times New Roman"/>
          <w:lang w:val="ro-RO"/>
        </w:rPr>
      </w:pPr>
      <w:bookmarkStart w:id="90" w:name="_Toc370211883"/>
      <w:r w:rsidRPr="00F473EE">
        <w:rPr>
          <w:lang w:val="ro-RO"/>
        </w:rPr>
        <w:t>Contribuţia Strategiei la incluziunea socială a tinerilor, în special a celor vulnerabili şi/sau care, din diferite motive, ar putea avea oportunităţi mai puţine</w:t>
      </w:r>
      <w:bookmarkEnd w:id="90"/>
    </w:p>
    <w:p w:rsidR="00B50A36" w:rsidRPr="00F473EE" w:rsidRDefault="00B50A36" w:rsidP="00B12674">
      <w:pPr>
        <w:jc w:val="both"/>
        <w:rPr>
          <w:sz w:val="24"/>
          <w:szCs w:val="24"/>
          <w:lang w:val="ro-RO"/>
        </w:rPr>
      </w:pPr>
    </w:p>
    <w:p w:rsidR="00B50A36" w:rsidRDefault="00B50A36" w:rsidP="00B12674">
      <w:pPr>
        <w:pStyle w:val="Heading3"/>
        <w:numPr>
          <w:ilvl w:val="2"/>
          <w:numId w:val="11"/>
        </w:numPr>
        <w:ind w:left="1080"/>
        <w:jc w:val="both"/>
        <w:rPr>
          <w:rFonts w:cs="Times New Roman"/>
          <w:u w:val="single"/>
          <w:lang w:val="ro-RO"/>
        </w:rPr>
      </w:pPr>
      <w:bookmarkStart w:id="91" w:name="_Toc370211884"/>
      <w:r w:rsidRPr="009828EE">
        <w:rPr>
          <w:lang w:val="ro-RO"/>
        </w:rPr>
        <w:t>Excluziune ocupa</w:t>
      </w:r>
      <w:r>
        <w:rPr>
          <w:rFonts w:ascii="Arial" w:hAnsi="Arial" w:cs="Arial"/>
          <w:lang w:val="ro-RO"/>
        </w:rPr>
        <w:t>ţ</w:t>
      </w:r>
      <w:r w:rsidRPr="009828EE">
        <w:rPr>
          <w:lang w:val="ro-RO"/>
        </w:rPr>
        <w:t>ională</w:t>
      </w:r>
      <w:bookmarkEnd w:id="91"/>
      <w:r w:rsidRPr="005C7EEB">
        <w:rPr>
          <w:u w:val="single"/>
          <w:lang w:val="ro-RO"/>
        </w:rPr>
        <w:t xml:space="preserve"> </w:t>
      </w:r>
    </w:p>
    <w:p w:rsidR="00B50A36" w:rsidRDefault="00B50A36" w:rsidP="00B12674">
      <w:pPr>
        <w:pStyle w:val="Heading4"/>
        <w:jc w:val="both"/>
        <w:rPr>
          <w:rFonts w:cs="Times New Roman"/>
          <w:lang w:val="ro-RO"/>
        </w:rPr>
      </w:pPr>
      <w:r w:rsidRPr="009828EE">
        <w:rPr>
          <w:lang w:val="ro-RO"/>
        </w:rPr>
        <w:t>Obiective specifice şi direcţii de acţiune</w:t>
      </w:r>
    </w:p>
    <w:p w:rsidR="00B50A36" w:rsidRDefault="00B50A36" w:rsidP="00B12674">
      <w:pPr>
        <w:jc w:val="both"/>
        <w:rPr>
          <w:lang w:val="ro-RO"/>
        </w:rPr>
      </w:pPr>
    </w:p>
    <w:p w:rsidR="00B50A36" w:rsidRPr="0002274F" w:rsidRDefault="00B50A36" w:rsidP="00B12674">
      <w:pPr>
        <w:pStyle w:val="Heading5"/>
        <w:numPr>
          <w:ilvl w:val="1"/>
          <w:numId w:val="26"/>
        </w:numPr>
        <w:spacing w:before="0" w:line="240" w:lineRule="auto"/>
        <w:jc w:val="both"/>
        <w:rPr>
          <w:rFonts w:cs="Times New Roman"/>
          <w:lang w:val="ro-RO"/>
        </w:rPr>
      </w:pPr>
      <w:r w:rsidRPr="0002274F">
        <w:rPr>
          <w:lang w:val="ro-RO"/>
        </w:rPr>
        <w:t>Promovarea unei pie</w:t>
      </w:r>
      <w:r>
        <w:rPr>
          <w:rFonts w:ascii="Cambria Math" w:hAnsi="Cambria Math" w:cs="Cambria Math"/>
          <w:lang w:val="ro-RO"/>
        </w:rPr>
        <w:t>ţ</w:t>
      </w:r>
      <w:r w:rsidRPr="0002274F">
        <w:rPr>
          <w:lang w:val="ro-RO"/>
        </w:rPr>
        <w:t>e a muncii mai incluzive cu tinerii în general și cu tinerii din categori</w:t>
      </w:r>
      <w:r>
        <w:rPr>
          <w:lang w:val="ro-RO"/>
        </w:rPr>
        <w:t xml:space="preserve">i </w:t>
      </w:r>
      <w:r w:rsidRPr="0002274F">
        <w:rPr>
          <w:lang w:val="ro-RO"/>
        </w:rPr>
        <w:t>defavorizate în mod special, îmbunătătirea calită</w:t>
      </w:r>
      <w:r>
        <w:rPr>
          <w:rFonts w:ascii="Cambria Math" w:hAnsi="Cambria Math" w:cs="Cambria Math"/>
          <w:lang w:val="ro-RO"/>
        </w:rPr>
        <w:t>ţ</w:t>
      </w:r>
      <w:r w:rsidRPr="0002274F">
        <w:rPr>
          <w:lang w:val="ro-RO"/>
        </w:rPr>
        <w:t>ii integrării tinerilor pe pia</w:t>
      </w:r>
      <w:r>
        <w:rPr>
          <w:rFonts w:ascii="Cambria Math" w:hAnsi="Cambria Math" w:cs="Cambria Math"/>
          <w:lang w:val="ro-RO"/>
        </w:rPr>
        <w:t>ţ</w:t>
      </w:r>
      <w:r w:rsidRPr="0002274F">
        <w:rPr>
          <w:lang w:val="ro-RO"/>
        </w:rPr>
        <w:t>a muncii, asigurarea unei pie</w:t>
      </w:r>
      <w:r>
        <w:rPr>
          <w:rFonts w:ascii="Cambria Math" w:hAnsi="Cambria Math" w:cs="Cambria Math"/>
          <w:lang w:val="ro-RO"/>
        </w:rPr>
        <w:t>ţ</w:t>
      </w:r>
      <w:r w:rsidRPr="0002274F">
        <w:rPr>
          <w:lang w:val="ro-RO"/>
        </w:rPr>
        <w:t>e a muncii flexibil</w:t>
      </w:r>
      <w:r>
        <w:rPr>
          <w:lang w:val="ro-RO"/>
        </w:rPr>
        <w:t>e</w:t>
      </w:r>
      <w:r w:rsidRPr="0002274F">
        <w:rPr>
          <w:lang w:val="ro-RO"/>
        </w:rPr>
        <w:t xml:space="preserve"> și creșterea siguran</w:t>
      </w:r>
      <w:r>
        <w:rPr>
          <w:rFonts w:ascii="Cambria Math" w:hAnsi="Cambria Math" w:cs="Cambria Math"/>
          <w:lang w:val="ro-RO"/>
        </w:rPr>
        <w:t>ţ</w:t>
      </w:r>
      <w:r w:rsidRPr="0002274F">
        <w:rPr>
          <w:lang w:val="ro-RO"/>
        </w:rPr>
        <w:t>ei cu privire la men</w:t>
      </w:r>
      <w:r>
        <w:rPr>
          <w:rFonts w:ascii="Cambria Math" w:hAnsi="Cambria Math" w:cs="Cambria Math"/>
          <w:lang w:val="ro-RO"/>
        </w:rPr>
        <w:t>ţ</w:t>
      </w:r>
      <w:r w:rsidRPr="0002274F">
        <w:rPr>
          <w:lang w:val="ro-RO"/>
        </w:rPr>
        <w:t xml:space="preserve">inerea locului de muncă </w:t>
      </w:r>
    </w:p>
    <w:p w:rsidR="00442ABA" w:rsidRDefault="00442ABA" w:rsidP="00B12674">
      <w:pPr>
        <w:pStyle w:val="Heading6"/>
        <w:jc w:val="both"/>
        <w:rPr>
          <w:lang w:val="ro-RO"/>
        </w:rPr>
      </w:pPr>
    </w:p>
    <w:p w:rsidR="00B50A36" w:rsidRDefault="00B50A36" w:rsidP="00B12674">
      <w:pPr>
        <w:pStyle w:val="Heading6"/>
        <w:jc w:val="both"/>
        <w:rPr>
          <w:rFonts w:cs="Times New Roman"/>
          <w:lang w:val="ro-RO"/>
        </w:rPr>
      </w:pPr>
      <w:r w:rsidRPr="0001441A">
        <w:rPr>
          <w:lang w:val="ro-RO"/>
        </w:rPr>
        <w:t>Direcţii de acţiune:</w:t>
      </w:r>
    </w:p>
    <w:p w:rsidR="00B50A36" w:rsidRPr="0058567A" w:rsidRDefault="00B50A36" w:rsidP="00B12674">
      <w:pPr>
        <w:pStyle w:val="ColorfulList-Accent11"/>
        <w:widowControl w:val="0"/>
        <w:numPr>
          <w:ilvl w:val="0"/>
          <w:numId w:val="13"/>
        </w:numPr>
        <w:autoSpaceDE w:val="0"/>
        <w:autoSpaceDN w:val="0"/>
        <w:adjustRightInd w:val="0"/>
        <w:jc w:val="both"/>
        <w:rPr>
          <w:lang w:val="ro-RO"/>
        </w:rPr>
      </w:pPr>
      <w:r w:rsidRPr="0058567A">
        <w:rPr>
          <w:lang w:val="ro-RO"/>
        </w:rPr>
        <w:t>Acordarea de  sprijin social îmbunătă</w:t>
      </w:r>
      <w:r>
        <w:rPr>
          <w:lang w:val="ro-RO"/>
        </w:rPr>
        <w:t>ţ</w:t>
      </w:r>
      <w:r w:rsidRPr="0058567A">
        <w:rPr>
          <w:lang w:val="ro-RO"/>
        </w:rPr>
        <w:t>it care continuă și atunci când tinerii se angajează pentru a se evita o situa</w:t>
      </w:r>
      <w:r>
        <w:rPr>
          <w:lang w:val="ro-RO"/>
        </w:rPr>
        <w:t>ţ</w:t>
      </w:r>
      <w:r w:rsidRPr="0058567A">
        <w:rPr>
          <w:lang w:val="ro-RO"/>
        </w:rPr>
        <w:t>ie de „ușă rotativă” în care persoanele sunt prinse între șomaj și un loc de muncă precar, de slabă calitate</w:t>
      </w:r>
      <w:r w:rsidRPr="00D46AE7">
        <w:rPr>
          <w:lang w:val="ro-RO"/>
        </w:rPr>
        <w:t>;</w:t>
      </w:r>
    </w:p>
    <w:p w:rsidR="00B50A36" w:rsidRPr="0058567A" w:rsidRDefault="00B50A36" w:rsidP="00B12674">
      <w:pPr>
        <w:pStyle w:val="ColorfulList-Accent11"/>
        <w:widowControl w:val="0"/>
        <w:numPr>
          <w:ilvl w:val="0"/>
          <w:numId w:val="13"/>
        </w:numPr>
        <w:autoSpaceDE w:val="0"/>
        <w:autoSpaceDN w:val="0"/>
        <w:adjustRightInd w:val="0"/>
        <w:jc w:val="both"/>
        <w:rPr>
          <w:lang w:val="ro-RO"/>
        </w:rPr>
      </w:pPr>
      <w:r w:rsidRPr="0058567A">
        <w:rPr>
          <w:lang w:val="ro-RO"/>
        </w:rPr>
        <w:t>Extinderea eligibilită</w:t>
      </w:r>
      <w:r>
        <w:rPr>
          <w:lang w:val="ro-RO"/>
        </w:rPr>
        <w:t>ţ</w:t>
      </w:r>
      <w:r w:rsidRPr="0058567A">
        <w:rPr>
          <w:lang w:val="ro-RO"/>
        </w:rPr>
        <w:t>ii pentru cursuri de calificare profesională și la persoanele care nu au absolvit învă</w:t>
      </w:r>
      <w:r>
        <w:rPr>
          <w:lang w:val="ro-RO"/>
        </w:rPr>
        <w:t>ţ</w:t>
      </w:r>
      <w:r w:rsidRPr="0058567A">
        <w:rPr>
          <w:lang w:val="ro-RO"/>
        </w:rPr>
        <w:t>ământul obligatoriu, în paralel cu cursuri de instruire speciale în competen</w:t>
      </w:r>
      <w:r>
        <w:rPr>
          <w:lang w:val="ro-RO"/>
        </w:rPr>
        <w:t>ţ</w:t>
      </w:r>
      <w:r w:rsidRPr="0058567A">
        <w:rPr>
          <w:lang w:val="ro-RO"/>
        </w:rPr>
        <w:t>e de bază pentru aceste persoane, astfel încât să poată fi cuprinse grupuri la risc precum persoanele af</w:t>
      </w:r>
      <w:r>
        <w:rPr>
          <w:lang w:val="ro-RO"/>
        </w:rPr>
        <w:t>late în sărăcie sau tinerii rom</w:t>
      </w:r>
      <w:r w:rsidRPr="0058567A">
        <w:rPr>
          <w:lang w:val="ro-RO"/>
        </w:rPr>
        <w:t>i excluși social</w:t>
      </w:r>
      <w:r w:rsidRPr="00D46AE7">
        <w:rPr>
          <w:lang w:val="ro-RO"/>
        </w:rPr>
        <w:t>;</w:t>
      </w:r>
    </w:p>
    <w:p w:rsidR="00B50A36" w:rsidRPr="0058567A" w:rsidRDefault="00B50A36" w:rsidP="00B12674">
      <w:pPr>
        <w:pStyle w:val="ColorfulList-Accent11"/>
        <w:widowControl w:val="0"/>
        <w:numPr>
          <w:ilvl w:val="0"/>
          <w:numId w:val="13"/>
        </w:numPr>
        <w:autoSpaceDE w:val="0"/>
        <w:autoSpaceDN w:val="0"/>
        <w:adjustRightInd w:val="0"/>
        <w:jc w:val="both"/>
        <w:rPr>
          <w:lang w:val="ro-RO"/>
        </w:rPr>
      </w:pPr>
      <w:r>
        <w:rPr>
          <w:lang w:val="ro-RO"/>
        </w:rPr>
        <w:t>Focalizarea</w:t>
      </w:r>
      <w:r w:rsidRPr="0058567A">
        <w:rPr>
          <w:lang w:val="ro-RO"/>
        </w:rPr>
        <w:t xml:space="preserve"> măsurilor active pe pia</w:t>
      </w:r>
      <w:r>
        <w:rPr>
          <w:lang w:val="ro-RO"/>
        </w:rPr>
        <w:t>ţ</w:t>
      </w:r>
      <w:r w:rsidRPr="0058567A">
        <w:rPr>
          <w:lang w:val="ro-RO"/>
        </w:rPr>
        <w:t>a for</w:t>
      </w:r>
      <w:r>
        <w:rPr>
          <w:lang w:val="ro-RO"/>
        </w:rPr>
        <w:t>ţ</w:t>
      </w:r>
      <w:r w:rsidRPr="0058567A">
        <w:rPr>
          <w:lang w:val="ro-RO"/>
        </w:rPr>
        <w:t>ei de muncă astfel încât să conducă la reducerea disparită</w:t>
      </w:r>
      <w:r>
        <w:rPr>
          <w:lang w:val="ro-RO"/>
        </w:rPr>
        <w:t>ţ</w:t>
      </w:r>
      <w:r w:rsidRPr="0058567A">
        <w:rPr>
          <w:lang w:val="ro-RO"/>
        </w:rPr>
        <w:t xml:space="preserve">ilor </w:t>
      </w:r>
      <w:r>
        <w:rPr>
          <w:lang w:val="ro-RO"/>
        </w:rPr>
        <w:t xml:space="preserve">între medii de rezidenţă, </w:t>
      </w:r>
      <w:r w:rsidRPr="0058567A">
        <w:rPr>
          <w:lang w:val="ro-RO"/>
        </w:rPr>
        <w:t>regionale și teritoriale</w:t>
      </w:r>
      <w:r w:rsidRPr="00D46AE7">
        <w:rPr>
          <w:lang w:val="ro-RO"/>
        </w:rPr>
        <w:t>;</w:t>
      </w:r>
    </w:p>
    <w:p w:rsidR="00B50A36" w:rsidRPr="0058567A" w:rsidRDefault="00B50A36" w:rsidP="00B12674">
      <w:pPr>
        <w:pStyle w:val="ColorfulList-Accent11"/>
        <w:widowControl w:val="0"/>
        <w:numPr>
          <w:ilvl w:val="0"/>
          <w:numId w:val="13"/>
        </w:numPr>
        <w:autoSpaceDE w:val="0"/>
        <w:autoSpaceDN w:val="0"/>
        <w:adjustRightInd w:val="0"/>
        <w:jc w:val="both"/>
        <w:rPr>
          <w:lang w:val="ro-RO"/>
        </w:rPr>
      </w:pPr>
      <w:r>
        <w:rPr>
          <w:lang w:val="ro-RO"/>
        </w:rPr>
        <w:t>Î</w:t>
      </w:r>
      <w:r w:rsidRPr="0058567A">
        <w:rPr>
          <w:lang w:val="ro-RO"/>
        </w:rPr>
        <w:t xml:space="preserve">ncurajarea tinerilor romi să intre pe piaţa </w:t>
      </w:r>
      <w:r>
        <w:rPr>
          <w:lang w:val="ro-RO"/>
        </w:rPr>
        <w:t>formală</w:t>
      </w:r>
      <w:r w:rsidRPr="0058567A">
        <w:rPr>
          <w:lang w:val="ro-RO"/>
        </w:rPr>
        <w:t xml:space="preserve"> de muncă, </w:t>
      </w:r>
      <w:r>
        <w:rPr>
          <w:lang w:val="ro-RO"/>
        </w:rPr>
        <w:t>prin</w:t>
      </w:r>
      <w:r w:rsidRPr="0058567A">
        <w:rPr>
          <w:lang w:val="ro-RO"/>
        </w:rPr>
        <w:t xml:space="preserve"> stagi</w:t>
      </w:r>
      <w:r>
        <w:rPr>
          <w:lang w:val="ro-RO"/>
        </w:rPr>
        <w:t>i</w:t>
      </w:r>
      <w:r w:rsidRPr="0058567A">
        <w:rPr>
          <w:lang w:val="ro-RO"/>
        </w:rPr>
        <w:t xml:space="preserve"> plătit</w:t>
      </w:r>
      <w:r>
        <w:rPr>
          <w:lang w:val="ro-RO"/>
        </w:rPr>
        <w:t>e</w:t>
      </w:r>
      <w:r w:rsidRPr="0058567A">
        <w:rPr>
          <w:lang w:val="ro-RO"/>
        </w:rPr>
        <w:t xml:space="preserve"> de stat, cursuri de spec</w:t>
      </w:r>
      <w:r>
        <w:rPr>
          <w:lang w:val="ro-RO"/>
        </w:rPr>
        <w:t>ializare,</w:t>
      </w:r>
      <w:r w:rsidRPr="0058567A">
        <w:rPr>
          <w:lang w:val="ro-RO"/>
        </w:rPr>
        <w:t xml:space="preserve"> pregătire şi</w:t>
      </w:r>
      <w:r>
        <w:rPr>
          <w:lang w:val="ro-RO"/>
        </w:rPr>
        <w:t xml:space="preserve"> </w:t>
      </w:r>
      <w:r w:rsidRPr="0058567A">
        <w:rPr>
          <w:lang w:val="ro-RO"/>
        </w:rPr>
        <w:t xml:space="preserve">consiliere pentru plasamentul pe piaţa </w:t>
      </w:r>
      <w:r>
        <w:rPr>
          <w:lang w:val="ro-RO"/>
        </w:rPr>
        <w:t>muncii</w:t>
      </w:r>
      <w:r w:rsidRPr="00D46AE7">
        <w:rPr>
          <w:lang w:val="ro-RO"/>
        </w:rPr>
        <w:t>;</w:t>
      </w:r>
    </w:p>
    <w:p w:rsidR="00B50A36" w:rsidRPr="0058567A" w:rsidRDefault="00B50A36" w:rsidP="00B12674">
      <w:pPr>
        <w:pStyle w:val="ColorfulList-Accent11"/>
        <w:numPr>
          <w:ilvl w:val="0"/>
          <w:numId w:val="13"/>
        </w:numPr>
        <w:jc w:val="both"/>
        <w:rPr>
          <w:lang w:val="ro-RO"/>
        </w:rPr>
      </w:pPr>
      <w:r w:rsidRPr="0058567A">
        <w:rPr>
          <w:lang w:val="ro-RO"/>
        </w:rPr>
        <w:lastRenderedPageBreak/>
        <w:t>Stimularea și extinderea măsurilor de încurajare a angajării tinerilor pe piaţa muncii, în special a celor proveniţi din sistemul de protecţie a copilului, a tinerilor care au ispăşit pedepse privative de libertate şi a tinerilor cu dizabilităţi</w:t>
      </w:r>
      <w:r w:rsidRPr="00D46AE7">
        <w:rPr>
          <w:lang w:val="ro-RO"/>
        </w:rPr>
        <w:t>;</w:t>
      </w:r>
    </w:p>
    <w:p w:rsidR="00B50A36" w:rsidRPr="0058567A" w:rsidRDefault="00B50A36" w:rsidP="00B12674">
      <w:pPr>
        <w:pStyle w:val="ColorfulList-Accent11"/>
        <w:widowControl w:val="0"/>
        <w:numPr>
          <w:ilvl w:val="0"/>
          <w:numId w:val="13"/>
        </w:numPr>
        <w:autoSpaceDE w:val="0"/>
        <w:autoSpaceDN w:val="0"/>
        <w:adjustRightInd w:val="0"/>
        <w:jc w:val="both"/>
        <w:rPr>
          <w:lang w:val="ro-RO"/>
        </w:rPr>
      </w:pPr>
      <w:r w:rsidRPr="0058567A">
        <w:rPr>
          <w:lang w:val="ro-RO"/>
        </w:rPr>
        <w:t>Prelungirea duratei facilită</w:t>
      </w:r>
      <w:r>
        <w:rPr>
          <w:lang w:val="ro-RO"/>
        </w:rPr>
        <w:t>ţ</w:t>
      </w:r>
      <w:r w:rsidRPr="0058567A">
        <w:rPr>
          <w:lang w:val="ro-RO"/>
        </w:rPr>
        <w:t>ilor acordate către angajatori pentru angajarea persoanelor tinere și cumularea facilită</w:t>
      </w:r>
      <w:r>
        <w:rPr>
          <w:lang w:val="ro-RO"/>
        </w:rPr>
        <w:t>ţ</w:t>
      </w:r>
      <w:r w:rsidRPr="0058567A">
        <w:rPr>
          <w:lang w:val="ro-RO"/>
        </w:rPr>
        <w:t>ilor pentru tineri cu cele acordate pentru angajarea persoanelor din grupurile vulnerabile, dacă este vorba de tineri din aceste categorii</w:t>
      </w:r>
      <w:r w:rsidRPr="00D46AE7">
        <w:rPr>
          <w:lang w:val="ro-RO"/>
        </w:rPr>
        <w:t>;</w:t>
      </w:r>
    </w:p>
    <w:p w:rsidR="00B50A36" w:rsidRPr="009827AC" w:rsidRDefault="00B50A36" w:rsidP="00B12674">
      <w:pPr>
        <w:pStyle w:val="ColorfulList-Accent11"/>
        <w:widowControl w:val="0"/>
        <w:numPr>
          <w:ilvl w:val="0"/>
          <w:numId w:val="13"/>
        </w:numPr>
        <w:autoSpaceDE w:val="0"/>
        <w:autoSpaceDN w:val="0"/>
        <w:adjustRightInd w:val="0"/>
        <w:jc w:val="both"/>
        <w:rPr>
          <w:sz w:val="24"/>
          <w:szCs w:val="24"/>
          <w:lang w:val="ro-RO"/>
        </w:rPr>
      </w:pPr>
      <w:r>
        <w:rPr>
          <w:lang w:val="ro-RO"/>
        </w:rPr>
        <w:t>A</w:t>
      </w:r>
      <w:r w:rsidRPr="0058567A">
        <w:rPr>
          <w:lang w:val="ro-RO"/>
        </w:rPr>
        <w:t>sigura</w:t>
      </w:r>
      <w:r>
        <w:rPr>
          <w:lang w:val="ro-RO"/>
        </w:rPr>
        <w:t>rea</w:t>
      </w:r>
      <w:r w:rsidRPr="0058567A">
        <w:rPr>
          <w:lang w:val="ro-RO"/>
        </w:rPr>
        <w:t xml:space="preserve"> sprijinul</w:t>
      </w:r>
      <w:r>
        <w:rPr>
          <w:lang w:val="ro-RO"/>
        </w:rPr>
        <w:t>ui</w:t>
      </w:r>
      <w:r w:rsidRPr="0058567A">
        <w:rPr>
          <w:lang w:val="ro-RO"/>
        </w:rPr>
        <w:t xml:space="preserve"> necesar, financiar, administrativ, pentru încurajarea antreprenoriatului în rândul tinerilor afecta</w:t>
      </w:r>
      <w:r>
        <w:rPr>
          <w:lang w:val="ro-RO"/>
        </w:rPr>
        <w:t>ţ</w:t>
      </w:r>
      <w:r w:rsidRPr="0058567A">
        <w:rPr>
          <w:lang w:val="ro-RO"/>
        </w:rPr>
        <w:t>i de șomaj cronic</w:t>
      </w:r>
      <w:r w:rsidRPr="00D46AE7">
        <w:rPr>
          <w:lang w:val="ro-RO"/>
        </w:rPr>
        <w:t>;</w:t>
      </w:r>
    </w:p>
    <w:p w:rsidR="00B50A36" w:rsidRPr="0010277F" w:rsidRDefault="00B50A36" w:rsidP="00B12674">
      <w:pPr>
        <w:pStyle w:val="ColorfulList-Accent11"/>
        <w:widowControl w:val="0"/>
        <w:numPr>
          <w:ilvl w:val="0"/>
          <w:numId w:val="13"/>
        </w:numPr>
        <w:autoSpaceDE w:val="0"/>
        <w:autoSpaceDN w:val="0"/>
        <w:adjustRightInd w:val="0"/>
        <w:jc w:val="both"/>
        <w:rPr>
          <w:lang w:val="ro-RO"/>
        </w:rPr>
      </w:pPr>
      <w:r w:rsidRPr="0010277F">
        <w:rPr>
          <w:lang w:val="ro-RO"/>
        </w:rPr>
        <w:t>Ini</w:t>
      </w:r>
      <w:r>
        <w:rPr>
          <w:lang w:val="ro-RO"/>
        </w:rPr>
        <w:t>ţ</w:t>
      </w:r>
      <w:r w:rsidRPr="0010277F">
        <w:rPr>
          <w:lang w:val="ro-RO"/>
        </w:rPr>
        <w:t>ierea de ac</w:t>
      </w:r>
      <w:r>
        <w:rPr>
          <w:lang w:val="ro-RO"/>
        </w:rPr>
        <w:t>ţ</w:t>
      </w:r>
      <w:r w:rsidRPr="0010277F">
        <w:rPr>
          <w:lang w:val="ro-RO"/>
        </w:rPr>
        <w:t xml:space="preserve">iuni </w:t>
      </w:r>
      <w:r>
        <w:rPr>
          <w:lang w:val="ro-RO"/>
        </w:rPr>
        <w:t>ţ</w:t>
      </w:r>
      <w:r w:rsidRPr="0010277F">
        <w:rPr>
          <w:lang w:val="ro-RO"/>
        </w:rPr>
        <w:t>intite de integrare, care să îmbunătă</w:t>
      </w:r>
      <w:r>
        <w:rPr>
          <w:lang w:val="ro-RO"/>
        </w:rPr>
        <w:t>ţ</w:t>
      </w:r>
      <w:r w:rsidRPr="0010277F">
        <w:rPr>
          <w:lang w:val="ro-RO"/>
        </w:rPr>
        <w:t>ească accesul pe pia</w:t>
      </w:r>
      <w:r>
        <w:rPr>
          <w:lang w:val="ro-RO"/>
        </w:rPr>
        <w:t>ţ</w:t>
      </w:r>
      <w:r w:rsidRPr="0010277F">
        <w:rPr>
          <w:lang w:val="ro-RO"/>
        </w:rPr>
        <w:t xml:space="preserve">a muncii al tinerilor dintr-o serie de grupuri vulnerabile social: femei, </w:t>
      </w:r>
      <w:r>
        <w:rPr>
          <w:lang w:val="ro-RO"/>
        </w:rPr>
        <w:t xml:space="preserve">cetăţeni </w:t>
      </w:r>
      <w:r w:rsidRPr="0010277F">
        <w:rPr>
          <w:lang w:val="ro-RO"/>
        </w:rPr>
        <w:t>români de etnie romă, tineri cu nevoi speciale, precum și persoane cu nivel scăzut de școlarizare și calificare profesională.</w:t>
      </w:r>
    </w:p>
    <w:p w:rsidR="00B50A36" w:rsidRPr="005C7EEB" w:rsidRDefault="00B50A36" w:rsidP="00B12674">
      <w:pPr>
        <w:jc w:val="both"/>
        <w:rPr>
          <w:b/>
          <w:bCs/>
          <w:sz w:val="24"/>
          <w:szCs w:val="24"/>
          <w:lang w:val="ro-RO"/>
        </w:rPr>
      </w:pPr>
    </w:p>
    <w:p w:rsidR="00B50A36" w:rsidRDefault="00B50A36" w:rsidP="00B12674">
      <w:pPr>
        <w:pStyle w:val="Heading3"/>
        <w:numPr>
          <w:ilvl w:val="0"/>
          <w:numId w:val="26"/>
        </w:numPr>
        <w:jc w:val="both"/>
        <w:rPr>
          <w:rFonts w:cs="Times New Roman"/>
          <w:lang w:val="ro-RO"/>
        </w:rPr>
      </w:pPr>
      <w:bookmarkStart w:id="92" w:name="_Toc370211885"/>
      <w:r w:rsidRPr="009828EE">
        <w:rPr>
          <w:lang w:val="ro-RO"/>
        </w:rPr>
        <w:t>Excluziune de la educa</w:t>
      </w:r>
      <w:r>
        <w:rPr>
          <w:rFonts w:ascii="Arial" w:hAnsi="Arial" w:cs="Arial"/>
          <w:lang w:val="ro-RO"/>
        </w:rPr>
        <w:t>ţ</w:t>
      </w:r>
      <w:r w:rsidRPr="009828EE">
        <w:rPr>
          <w:lang w:val="ro-RO"/>
        </w:rPr>
        <w:t>ie formală</w:t>
      </w:r>
      <w:r>
        <w:rPr>
          <w:lang w:val="ro-RO"/>
        </w:rPr>
        <w:t>,</w:t>
      </w:r>
      <w:r w:rsidRPr="009828EE">
        <w:rPr>
          <w:lang w:val="ro-RO"/>
        </w:rPr>
        <w:t xml:space="preserve"> non-formală</w:t>
      </w:r>
      <w:r>
        <w:rPr>
          <w:lang w:val="ro-RO"/>
        </w:rPr>
        <w:t xml:space="preserve"> și cultură</w:t>
      </w:r>
      <w:bookmarkEnd w:id="92"/>
    </w:p>
    <w:p w:rsidR="00B50A36" w:rsidRPr="003F78DA" w:rsidRDefault="00B50A36" w:rsidP="00B12674">
      <w:pPr>
        <w:pStyle w:val="Heading4"/>
        <w:jc w:val="both"/>
        <w:rPr>
          <w:lang w:val="ro-RO"/>
        </w:rPr>
      </w:pPr>
      <w:r w:rsidRPr="003F78DA">
        <w:rPr>
          <w:lang w:val="ro-RO"/>
        </w:rPr>
        <w:t>Obiective specifice şi direcţii de acţiune</w:t>
      </w:r>
    </w:p>
    <w:p w:rsidR="00B50A36" w:rsidRPr="0002274F" w:rsidRDefault="00B50A36" w:rsidP="00B12674">
      <w:pPr>
        <w:pStyle w:val="Heading5"/>
        <w:numPr>
          <w:ilvl w:val="1"/>
          <w:numId w:val="26"/>
        </w:numPr>
        <w:jc w:val="both"/>
        <w:rPr>
          <w:rFonts w:cs="Times New Roman"/>
          <w:lang w:val="ro-RO"/>
        </w:rPr>
      </w:pPr>
      <w:r w:rsidRPr="0002274F">
        <w:rPr>
          <w:lang w:val="ro-RO"/>
        </w:rPr>
        <w:t>Direc</w:t>
      </w:r>
      <w:r>
        <w:rPr>
          <w:rFonts w:ascii="Cambria Math" w:hAnsi="Cambria Math" w:cs="Cambria Math"/>
          <w:lang w:val="ro-RO"/>
        </w:rPr>
        <w:t>ţ</w:t>
      </w:r>
      <w:r w:rsidRPr="0002274F">
        <w:rPr>
          <w:lang w:val="ro-RO"/>
        </w:rPr>
        <w:t>ionarea educa</w:t>
      </w:r>
      <w:r>
        <w:rPr>
          <w:rFonts w:ascii="Cambria Math" w:hAnsi="Cambria Math" w:cs="Cambria Math"/>
          <w:lang w:val="ro-RO"/>
        </w:rPr>
        <w:t>ţ</w:t>
      </w:r>
      <w:r w:rsidRPr="0002274F">
        <w:rPr>
          <w:lang w:val="ro-RO"/>
        </w:rPr>
        <w:t>iei non-formale spre reintegrarea socială a tinerilor excluși social, asigurarea men</w:t>
      </w:r>
      <w:r>
        <w:rPr>
          <w:rFonts w:ascii="Cambria Math" w:hAnsi="Cambria Math" w:cs="Cambria Math"/>
          <w:lang w:val="ro-RO"/>
        </w:rPr>
        <w:t>ţ</w:t>
      </w:r>
      <w:r w:rsidRPr="0002274F">
        <w:rPr>
          <w:lang w:val="ro-RO"/>
        </w:rPr>
        <w:t>inerii sau restabilirii accesului la educa</w:t>
      </w:r>
      <w:r>
        <w:rPr>
          <w:rFonts w:ascii="Cambria Math" w:hAnsi="Cambria Math" w:cs="Cambria Math"/>
          <w:lang w:val="ro-RO"/>
        </w:rPr>
        <w:t>ţ</w:t>
      </w:r>
      <w:r w:rsidRPr="0002274F">
        <w:rPr>
          <w:lang w:val="ro-RO"/>
        </w:rPr>
        <w:t>ia formală în paralel cu o reală promovare a învă</w:t>
      </w:r>
      <w:r>
        <w:rPr>
          <w:rFonts w:ascii="Cambria Math" w:hAnsi="Cambria Math" w:cs="Cambria Math"/>
          <w:lang w:val="ro-RO"/>
        </w:rPr>
        <w:t>ţ</w:t>
      </w:r>
      <w:r w:rsidRPr="0002274F">
        <w:rPr>
          <w:lang w:val="ro-RO"/>
        </w:rPr>
        <w:t>ării non-formale și informale și a recunoașterii competen</w:t>
      </w:r>
      <w:r>
        <w:rPr>
          <w:rFonts w:ascii="Cambria Math" w:hAnsi="Cambria Math" w:cs="Cambria Math"/>
          <w:lang w:val="ro-RO"/>
        </w:rPr>
        <w:t>ţ</w:t>
      </w:r>
      <w:r w:rsidRPr="0002274F">
        <w:rPr>
          <w:lang w:val="ro-RO"/>
        </w:rPr>
        <w:t>elor dobândite</w:t>
      </w:r>
    </w:p>
    <w:p w:rsidR="00B50A36" w:rsidRPr="0002274F" w:rsidRDefault="00B50A36" w:rsidP="00B12674">
      <w:pPr>
        <w:pStyle w:val="ColorfulList-Accent11"/>
        <w:tabs>
          <w:tab w:val="left" w:pos="0"/>
        </w:tabs>
        <w:ind w:left="0"/>
        <w:jc w:val="both"/>
        <w:rPr>
          <w:b/>
          <w:bCs/>
          <w:sz w:val="24"/>
          <w:szCs w:val="24"/>
          <w:lang w:val="ro-RO"/>
        </w:rPr>
      </w:pPr>
    </w:p>
    <w:p w:rsidR="00B50A36" w:rsidRDefault="00B50A36" w:rsidP="00B12674">
      <w:pPr>
        <w:pStyle w:val="Heading6"/>
        <w:jc w:val="both"/>
        <w:rPr>
          <w:rFonts w:cs="Times New Roman"/>
          <w:lang w:val="ro-RO"/>
        </w:rPr>
      </w:pPr>
      <w:r w:rsidRPr="0001441A">
        <w:rPr>
          <w:lang w:val="ro-RO"/>
        </w:rPr>
        <w:t>Direcţii de acţiune:</w:t>
      </w:r>
    </w:p>
    <w:p w:rsidR="00B50A36" w:rsidRPr="0058567A" w:rsidRDefault="00B50A36" w:rsidP="00B12674">
      <w:pPr>
        <w:pStyle w:val="ColorfulList-Accent11"/>
        <w:numPr>
          <w:ilvl w:val="0"/>
          <w:numId w:val="14"/>
        </w:numPr>
        <w:jc w:val="both"/>
        <w:rPr>
          <w:lang w:val="ro-RO"/>
        </w:rPr>
      </w:pPr>
      <w:r w:rsidRPr="0058567A">
        <w:rPr>
          <w:lang w:val="ro-RO"/>
        </w:rPr>
        <w:t>Ameliorarea rezultatelor în domeniul educa</w:t>
      </w:r>
      <w:r>
        <w:rPr>
          <w:lang w:val="ro-RO"/>
        </w:rPr>
        <w:t>ţ</w:t>
      </w:r>
      <w:r w:rsidRPr="0058567A">
        <w:rPr>
          <w:lang w:val="ro-RO"/>
        </w:rPr>
        <w:t>iei, tratând fiecare segment (preșcolar, primar, secundar, profesional și universitar) în cadrul unei abordări integrate, care să includă competen</w:t>
      </w:r>
      <w:r>
        <w:rPr>
          <w:lang w:val="ro-RO"/>
        </w:rPr>
        <w:t>ţ</w:t>
      </w:r>
      <w:r w:rsidRPr="0058567A">
        <w:rPr>
          <w:lang w:val="ro-RO"/>
        </w:rPr>
        <w:t>ele-cheie și care are scopul de a reduce părăsirea timpurie a școlii;</w:t>
      </w:r>
    </w:p>
    <w:p w:rsidR="00B50A36" w:rsidRPr="0058567A" w:rsidRDefault="00B50A36" w:rsidP="00B12674">
      <w:pPr>
        <w:pStyle w:val="ColorfulList-Accent11"/>
        <w:numPr>
          <w:ilvl w:val="0"/>
          <w:numId w:val="14"/>
        </w:numPr>
        <w:jc w:val="both"/>
        <w:rPr>
          <w:lang w:val="ro-RO"/>
        </w:rPr>
      </w:pPr>
      <w:r w:rsidRPr="0058567A">
        <w:rPr>
          <w:lang w:val="ro-RO"/>
        </w:rPr>
        <w:t>Dezvoltarea de platforme de educa</w:t>
      </w:r>
      <w:r>
        <w:rPr>
          <w:lang w:val="ro-RO"/>
        </w:rPr>
        <w:t>ţ</w:t>
      </w:r>
      <w:r w:rsidRPr="0058567A">
        <w:rPr>
          <w:lang w:val="ro-RO"/>
        </w:rPr>
        <w:t xml:space="preserve">ie prin parteneriat între şcoli, universităţi, organizaţii </w:t>
      </w:r>
      <w:r>
        <w:rPr>
          <w:lang w:val="ro-RO"/>
        </w:rPr>
        <w:t xml:space="preserve">neguvernamentale de şi </w:t>
      </w:r>
      <w:r w:rsidRPr="0010277F">
        <w:rPr>
          <w:lang w:val="ro-RO"/>
        </w:rPr>
        <w:t>pentru tineret</w:t>
      </w:r>
      <w:r>
        <w:rPr>
          <w:lang w:val="ro-RO"/>
        </w:rPr>
        <w:t xml:space="preserve"> </w:t>
      </w:r>
      <w:r w:rsidRPr="0058567A">
        <w:rPr>
          <w:lang w:val="ro-RO"/>
        </w:rPr>
        <w:t>şi furnizori de învăţare nonformală cu participarea membrilor comunită</w:t>
      </w:r>
      <w:r>
        <w:rPr>
          <w:lang w:val="ro-RO"/>
        </w:rPr>
        <w:t>ţ</w:t>
      </w:r>
      <w:r w:rsidRPr="0058567A">
        <w:rPr>
          <w:lang w:val="ro-RO"/>
        </w:rPr>
        <w:t>ii (părin</w:t>
      </w:r>
      <w:r>
        <w:rPr>
          <w:lang w:val="ro-RO"/>
        </w:rPr>
        <w:t>ţ</w:t>
      </w:r>
      <w:r w:rsidRPr="0058567A">
        <w:rPr>
          <w:lang w:val="ro-RO"/>
        </w:rPr>
        <w:t>i, tineri) din care provin beneficiarii acestor platforme de învă</w:t>
      </w:r>
      <w:r>
        <w:rPr>
          <w:lang w:val="ro-RO"/>
        </w:rPr>
        <w:t>ţ</w:t>
      </w:r>
      <w:r w:rsidRPr="0058567A">
        <w:rPr>
          <w:lang w:val="ro-RO"/>
        </w:rPr>
        <w:t>are</w:t>
      </w:r>
      <w:r w:rsidRPr="00D46AE7">
        <w:rPr>
          <w:lang w:val="ro-RO"/>
        </w:rPr>
        <w:t>;</w:t>
      </w:r>
    </w:p>
    <w:p w:rsidR="00B50A36" w:rsidRDefault="00B50A36" w:rsidP="00B12674">
      <w:pPr>
        <w:pStyle w:val="ColorfulList-Accent11"/>
        <w:numPr>
          <w:ilvl w:val="0"/>
          <w:numId w:val="14"/>
        </w:numPr>
        <w:jc w:val="both"/>
        <w:rPr>
          <w:lang w:val="ro-RO"/>
        </w:rPr>
      </w:pPr>
      <w:r w:rsidRPr="0058567A">
        <w:rPr>
          <w:lang w:val="ro-RO"/>
        </w:rPr>
        <w:t>Acordarea unor măsuri de sus</w:t>
      </w:r>
      <w:r>
        <w:rPr>
          <w:lang w:val="ro-RO"/>
        </w:rPr>
        <w:t>ţ</w:t>
      </w:r>
      <w:r w:rsidRPr="0058567A">
        <w:rPr>
          <w:lang w:val="ro-RO"/>
        </w:rPr>
        <w:t>inere a elevilor cu rezultate școlare bune și foarte bune din medii defavorizate</w:t>
      </w:r>
      <w:r w:rsidRPr="00D46AE7">
        <w:rPr>
          <w:lang w:val="ro-RO"/>
        </w:rPr>
        <w:t>;</w:t>
      </w:r>
    </w:p>
    <w:p w:rsidR="00B50A36" w:rsidRDefault="00B50A36" w:rsidP="00B12674">
      <w:pPr>
        <w:pStyle w:val="ColorfulList-Accent11"/>
        <w:numPr>
          <w:ilvl w:val="0"/>
          <w:numId w:val="14"/>
        </w:numPr>
        <w:spacing w:after="0" w:line="240" w:lineRule="auto"/>
        <w:jc w:val="both"/>
        <w:rPr>
          <w:noProof/>
          <w:lang w:val="it-IT"/>
        </w:rPr>
      </w:pPr>
      <w:r>
        <w:rPr>
          <w:noProof/>
          <w:lang w:val="it-IT"/>
        </w:rPr>
        <w:t>Asigurerea a</w:t>
      </w:r>
      <w:r w:rsidRPr="002F4CC9">
        <w:rPr>
          <w:noProof/>
          <w:lang w:val="it-IT"/>
        </w:rPr>
        <w:t>ccesul</w:t>
      </w:r>
      <w:r>
        <w:rPr>
          <w:noProof/>
          <w:lang w:val="it-IT"/>
        </w:rPr>
        <w:t>ui</w:t>
      </w:r>
      <w:r w:rsidRPr="002F4CC9">
        <w:rPr>
          <w:noProof/>
          <w:lang w:val="it-IT"/>
        </w:rPr>
        <w:t xml:space="preserve"> la școală al tinerilor, în special al tinerelor fete, din comunită</w:t>
      </w:r>
      <w:r>
        <w:rPr>
          <w:noProof/>
          <w:lang w:val="it-IT"/>
        </w:rPr>
        <w:t>ţ</w:t>
      </w:r>
      <w:r w:rsidRPr="002F4CC9">
        <w:rPr>
          <w:noProof/>
          <w:lang w:val="it-IT"/>
        </w:rPr>
        <w:t>ile cu valori tradi</w:t>
      </w:r>
      <w:r>
        <w:rPr>
          <w:noProof/>
          <w:lang w:val="it-IT"/>
        </w:rPr>
        <w:t>ţ</w:t>
      </w:r>
      <w:r w:rsidRPr="002F4CC9">
        <w:rPr>
          <w:noProof/>
          <w:lang w:val="it-IT"/>
        </w:rPr>
        <w:t>ionale</w:t>
      </w:r>
      <w:r w:rsidRPr="00D46AE7">
        <w:rPr>
          <w:lang w:val="ro-RO"/>
        </w:rPr>
        <w:t>;</w:t>
      </w:r>
    </w:p>
    <w:p w:rsidR="00B50A36" w:rsidRPr="0010277F" w:rsidRDefault="00B50A36" w:rsidP="00B12674">
      <w:pPr>
        <w:pStyle w:val="ColorfulList-Accent11"/>
        <w:spacing w:after="0" w:line="240" w:lineRule="auto"/>
        <w:ind w:left="360"/>
        <w:jc w:val="both"/>
        <w:rPr>
          <w:noProof/>
          <w:lang w:val="it-IT"/>
        </w:rPr>
      </w:pPr>
    </w:p>
    <w:p w:rsidR="00B50A36" w:rsidRPr="0058567A" w:rsidRDefault="00B50A36" w:rsidP="00B12674">
      <w:pPr>
        <w:pStyle w:val="ColorfulList-Accent11"/>
        <w:numPr>
          <w:ilvl w:val="0"/>
          <w:numId w:val="14"/>
        </w:numPr>
        <w:jc w:val="both"/>
        <w:rPr>
          <w:lang w:val="ro-RO"/>
        </w:rPr>
      </w:pPr>
      <w:r>
        <w:rPr>
          <w:lang w:val="ro-RO"/>
        </w:rPr>
        <w:t>Promovarea participării</w:t>
      </w:r>
      <w:r w:rsidRPr="0058567A">
        <w:rPr>
          <w:lang w:val="ro-RO"/>
        </w:rPr>
        <w:t xml:space="preserve"> la procesul de decizie, </w:t>
      </w:r>
      <w:r>
        <w:rPr>
          <w:lang w:val="ro-RO"/>
        </w:rPr>
        <w:t>asigurarea diversităţii şi incluziunii</w:t>
      </w:r>
      <w:r w:rsidRPr="0058567A">
        <w:rPr>
          <w:lang w:val="ro-RO"/>
        </w:rPr>
        <w:t xml:space="preserve">, </w:t>
      </w:r>
      <w:r>
        <w:rPr>
          <w:lang w:val="ro-RO"/>
        </w:rPr>
        <w:t>și scăderea centrării exclusiv</w:t>
      </w:r>
      <w:r w:rsidRPr="0058567A">
        <w:rPr>
          <w:lang w:val="ro-RO"/>
        </w:rPr>
        <w:t xml:space="preserve"> pe examene şi certificate</w:t>
      </w:r>
      <w:r>
        <w:rPr>
          <w:lang w:val="ro-RO"/>
        </w:rPr>
        <w:t>, în scopul</w:t>
      </w:r>
      <w:r w:rsidRPr="0058567A">
        <w:rPr>
          <w:lang w:val="ro-RO"/>
        </w:rPr>
        <w:t xml:space="preserve"> </w:t>
      </w:r>
      <w:r>
        <w:rPr>
          <w:lang w:val="ro-RO"/>
        </w:rPr>
        <w:t>asigurării unei culturi</w:t>
      </w:r>
      <w:r w:rsidRPr="0058567A">
        <w:rPr>
          <w:lang w:val="ro-RO"/>
        </w:rPr>
        <w:t xml:space="preserve"> a înţelegerii, acceptării şi respectului</w:t>
      </w:r>
    </w:p>
    <w:p w:rsidR="00B50A36" w:rsidRPr="0058567A" w:rsidRDefault="00B50A36" w:rsidP="00B12674">
      <w:pPr>
        <w:pStyle w:val="ColorfulList-Accent11"/>
        <w:widowControl w:val="0"/>
        <w:numPr>
          <w:ilvl w:val="0"/>
          <w:numId w:val="14"/>
        </w:numPr>
        <w:autoSpaceDE w:val="0"/>
        <w:autoSpaceDN w:val="0"/>
        <w:adjustRightInd w:val="0"/>
        <w:jc w:val="both"/>
        <w:rPr>
          <w:lang w:val="ro-RO"/>
        </w:rPr>
      </w:pPr>
      <w:r w:rsidRPr="0058567A">
        <w:rPr>
          <w:lang w:val="ro-RO"/>
        </w:rPr>
        <w:t xml:space="preserve">Facilitarea, prin </w:t>
      </w:r>
      <w:r>
        <w:rPr>
          <w:lang w:val="ro-RO"/>
        </w:rPr>
        <w:t>c</w:t>
      </w:r>
      <w:r w:rsidRPr="0058567A">
        <w:rPr>
          <w:lang w:val="ro-RO"/>
        </w:rPr>
        <w:t xml:space="preserve">onsilii </w:t>
      </w:r>
      <w:r>
        <w:rPr>
          <w:lang w:val="ro-RO"/>
        </w:rPr>
        <w:t>j</w:t>
      </w:r>
      <w:r w:rsidRPr="0058567A">
        <w:rPr>
          <w:lang w:val="ro-RO"/>
        </w:rPr>
        <w:t>ude</w:t>
      </w:r>
      <w:r>
        <w:rPr>
          <w:lang w:val="ro-RO"/>
        </w:rPr>
        <w:t>ţ</w:t>
      </w:r>
      <w:r w:rsidRPr="0058567A">
        <w:rPr>
          <w:lang w:val="ro-RO"/>
        </w:rPr>
        <w:t>ene și primării, a unor convenţii între unită</w:t>
      </w:r>
      <w:r>
        <w:rPr>
          <w:lang w:val="ro-RO"/>
        </w:rPr>
        <w:t>ţ</w:t>
      </w:r>
      <w:r w:rsidRPr="0058567A">
        <w:rPr>
          <w:lang w:val="ro-RO"/>
        </w:rPr>
        <w:t xml:space="preserve">ile  şcolare din zone izolate, </w:t>
      </w:r>
      <w:r w:rsidRPr="0058567A">
        <w:rPr>
          <w:lang w:val="ro-RO"/>
        </w:rPr>
        <w:lastRenderedPageBreak/>
        <w:t>fără angajatori importan</w:t>
      </w:r>
      <w:r>
        <w:rPr>
          <w:lang w:val="ro-RO"/>
        </w:rPr>
        <w:t>ţ</w:t>
      </w:r>
      <w:r w:rsidRPr="0058567A">
        <w:rPr>
          <w:lang w:val="ro-RO"/>
        </w:rPr>
        <w:t>i în proximitate,  şi agenţi din alte zone economice, pentru a permite organizarea învă</w:t>
      </w:r>
      <w:r>
        <w:rPr>
          <w:lang w:val="ro-RO"/>
        </w:rPr>
        <w:t>ţ</w:t>
      </w:r>
      <w:r w:rsidRPr="0058567A">
        <w:rPr>
          <w:lang w:val="ro-RO"/>
        </w:rPr>
        <w:t>ământului profesional în aceste zone și a preveni excluziunea de la educa</w:t>
      </w:r>
      <w:r>
        <w:rPr>
          <w:lang w:val="ro-RO"/>
        </w:rPr>
        <w:t>ţ</w:t>
      </w:r>
      <w:r w:rsidRPr="0058567A">
        <w:rPr>
          <w:lang w:val="ro-RO"/>
        </w:rPr>
        <w:t>ie a tinerilor</w:t>
      </w:r>
      <w:r w:rsidRPr="00D46AE7">
        <w:rPr>
          <w:lang w:val="ro-RO"/>
        </w:rPr>
        <w:t>;</w:t>
      </w:r>
    </w:p>
    <w:p w:rsidR="00B50A36" w:rsidDel="003C1E33" w:rsidRDefault="00B50A36" w:rsidP="00B12674">
      <w:pPr>
        <w:pStyle w:val="ColorfulList-Accent11"/>
        <w:widowControl w:val="0"/>
        <w:numPr>
          <w:ilvl w:val="0"/>
          <w:numId w:val="14"/>
        </w:numPr>
        <w:autoSpaceDE w:val="0"/>
        <w:autoSpaceDN w:val="0"/>
        <w:adjustRightInd w:val="0"/>
        <w:jc w:val="both"/>
        <w:rPr>
          <w:lang w:val="ro-RO"/>
        </w:rPr>
      </w:pPr>
      <w:r>
        <w:rPr>
          <w:lang w:val="ro-RO"/>
        </w:rPr>
        <w:t>Implementare unor m</w:t>
      </w:r>
      <w:r w:rsidRPr="0058567A">
        <w:rPr>
          <w:lang w:val="ro-RO"/>
        </w:rPr>
        <w:t>ăsuri pentru promovarea e-incluziunii tinerilor, direc</w:t>
      </w:r>
      <w:r>
        <w:rPr>
          <w:lang w:val="ro-RO"/>
        </w:rPr>
        <w:t>ţ</w:t>
      </w:r>
      <w:r w:rsidRPr="0058567A">
        <w:rPr>
          <w:lang w:val="ro-RO"/>
        </w:rPr>
        <w:t>ionate în special spre zonele mai sărace și mai izolate din mediul rural și spre categoriile de tineri cu un standard de via</w:t>
      </w:r>
      <w:r>
        <w:rPr>
          <w:lang w:val="ro-RO"/>
        </w:rPr>
        <w:t>ţ</w:t>
      </w:r>
      <w:r w:rsidRPr="0058567A">
        <w:rPr>
          <w:lang w:val="ro-RO"/>
        </w:rPr>
        <w:t>ă mai scăzut</w:t>
      </w:r>
      <w:r w:rsidRPr="00D46AE7">
        <w:rPr>
          <w:lang w:val="ro-RO"/>
        </w:rPr>
        <w:t>;</w:t>
      </w:r>
    </w:p>
    <w:p w:rsidR="00B50A36" w:rsidRPr="009A01FF" w:rsidRDefault="00B50A36" w:rsidP="00B12674">
      <w:pPr>
        <w:pStyle w:val="ColorfulList-Accent11"/>
        <w:widowControl w:val="0"/>
        <w:numPr>
          <w:ilvl w:val="0"/>
          <w:numId w:val="14"/>
        </w:numPr>
        <w:autoSpaceDE w:val="0"/>
        <w:autoSpaceDN w:val="0"/>
        <w:adjustRightInd w:val="0"/>
        <w:jc w:val="both"/>
        <w:rPr>
          <w:lang w:val="ro-RO"/>
        </w:rPr>
      </w:pPr>
      <w:r w:rsidRPr="003C1E33">
        <w:rPr>
          <w:lang w:val="ro-RO"/>
        </w:rPr>
        <w:t xml:space="preserve">Asigurarea de </w:t>
      </w:r>
      <w:r w:rsidRPr="009A01FF">
        <w:rPr>
          <w:lang w:val="ro-RO"/>
        </w:rPr>
        <w:t>oportunitati de afirmare artistică și culturală a tinerilor cu resurse economice precare și excluși social</w:t>
      </w:r>
      <w:r w:rsidRPr="00D46AE7">
        <w:rPr>
          <w:lang w:val="ro-RO"/>
        </w:rPr>
        <w:t>;</w:t>
      </w:r>
    </w:p>
    <w:p w:rsidR="00B50A36" w:rsidRPr="0058567A" w:rsidRDefault="00B50A36" w:rsidP="00B12674">
      <w:pPr>
        <w:pStyle w:val="ColorfulList-Accent11"/>
        <w:jc w:val="both"/>
        <w:rPr>
          <w:b/>
          <w:bCs/>
          <w:lang w:val="ro-RO"/>
        </w:rPr>
      </w:pPr>
    </w:p>
    <w:p w:rsidR="00B50A36" w:rsidRDefault="00B50A36" w:rsidP="00B12674">
      <w:pPr>
        <w:pStyle w:val="Heading3"/>
        <w:numPr>
          <w:ilvl w:val="0"/>
          <w:numId w:val="26"/>
        </w:numPr>
        <w:jc w:val="both"/>
        <w:rPr>
          <w:rFonts w:cs="Times New Roman"/>
          <w:lang w:val="ro-RO"/>
        </w:rPr>
      </w:pPr>
      <w:bookmarkStart w:id="93" w:name="_Toc370211886"/>
      <w:r w:rsidRPr="009828EE">
        <w:rPr>
          <w:lang w:val="ro-RO"/>
        </w:rPr>
        <w:t>Excluziune de la sănătate</w:t>
      </w:r>
      <w:bookmarkEnd w:id="93"/>
      <w:r w:rsidRPr="009828EE">
        <w:rPr>
          <w:lang w:val="ro-RO"/>
        </w:rPr>
        <w:t xml:space="preserve"> </w:t>
      </w:r>
    </w:p>
    <w:p w:rsidR="00B50A36" w:rsidRPr="003F78DA" w:rsidRDefault="00B50A36" w:rsidP="00B12674">
      <w:pPr>
        <w:pStyle w:val="Heading4"/>
        <w:jc w:val="both"/>
        <w:rPr>
          <w:lang w:val="ro-RO"/>
        </w:rPr>
      </w:pPr>
      <w:r w:rsidRPr="003F78DA">
        <w:rPr>
          <w:lang w:val="ro-RO"/>
        </w:rPr>
        <w:t>Obiective specifice şi direcţii de acţiune</w:t>
      </w:r>
    </w:p>
    <w:p w:rsidR="00B50A36" w:rsidRPr="0002274F" w:rsidRDefault="00B50A36" w:rsidP="00B12674">
      <w:pPr>
        <w:pStyle w:val="Heading5"/>
        <w:numPr>
          <w:ilvl w:val="1"/>
          <w:numId w:val="26"/>
        </w:numPr>
        <w:jc w:val="both"/>
        <w:rPr>
          <w:rFonts w:cs="Times New Roman"/>
          <w:lang w:val="ro-RO"/>
        </w:rPr>
      </w:pPr>
      <w:r w:rsidRPr="0002274F">
        <w:rPr>
          <w:lang w:val="ro-RO"/>
        </w:rPr>
        <w:t>Promovarea accesului egal la sănătate a</w:t>
      </w:r>
      <w:r>
        <w:rPr>
          <w:lang w:val="ro-RO"/>
        </w:rPr>
        <w:t>l</w:t>
      </w:r>
      <w:r w:rsidRPr="0002274F">
        <w:rPr>
          <w:lang w:val="ro-RO"/>
        </w:rPr>
        <w:t xml:space="preserve"> tinerilor și men</w:t>
      </w:r>
      <w:r>
        <w:rPr>
          <w:rFonts w:ascii="Cambria Math" w:hAnsi="Cambria Math" w:cs="Cambria Math"/>
          <w:lang w:val="ro-RO"/>
        </w:rPr>
        <w:t>ţ</w:t>
      </w:r>
      <w:r w:rsidRPr="0002274F">
        <w:rPr>
          <w:lang w:val="ro-RO"/>
        </w:rPr>
        <w:t xml:space="preserve">inerea accesului gratuit la un pachet de servicii </w:t>
      </w:r>
      <w:r>
        <w:rPr>
          <w:lang w:val="ro-RO"/>
        </w:rPr>
        <w:t>medicale de bază, precum și îmbunătă</w:t>
      </w:r>
      <w:r>
        <w:rPr>
          <w:rFonts w:ascii="Cambria Math" w:hAnsi="Cambria Math" w:cs="Cambria Math"/>
          <w:lang w:val="ro-RO"/>
        </w:rPr>
        <w:t>ţ</w:t>
      </w:r>
      <w:r w:rsidRPr="0002274F">
        <w:rPr>
          <w:lang w:val="ro-RO"/>
        </w:rPr>
        <w:t>irea calită</w:t>
      </w:r>
      <w:r>
        <w:rPr>
          <w:rFonts w:ascii="Cambria Math" w:hAnsi="Cambria Math" w:cs="Cambria Math"/>
          <w:lang w:val="ro-RO"/>
        </w:rPr>
        <w:t>ţ</w:t>
      </w:r>
      <w:r w:rsidRPr="0002274F">
        <w:rPr>
          <w:lang w:val="ro-RO"/>
        </w:rPr>
        <w:t>ii actului medical de care beneficiază copiii și tinerii în dificultate</w:t>
      </w:r>
    </w:p>
    <w:p w:rsidR="00B50A36" w:rsidRDefault="00B50A36" w:rsidP="00B12674">
      <w:pPr>
        <w:pStyle w:val="Heading6"/>
        <w:jc w:val="both"/>
        <w:rPr>
          <w:rFonts w:cs="Times New Roman"/>
          <w:lang w:val="ro-RO"/>
        </w:rPr>
      </w:pPr>
      <w:r w:rsidRPr="0001441A">
        <w:rPr>
          <w:lang w:val="ro-RO"/>
        </w:rPr>
        <w:t>Direcţii de acţiune:</w:t>
      </w:r>
    </w:p>
    <w:p w:rsidR="00B50A36" w:rsidRPr="0058567A" w:rsidRDefault="00B50A36" w:rsidP="00B12674">
      <w:pPr>
        <w:pStyle w:val="Normal10"/>
        <w:numPr>
          <w:ilvl w:val="0"/>
          <w:numId w:val="16"/>
        </w:numPr>
        <w:jc w:val="both"/>
        <w:rPr>
          <w:rFonts w:ascii="Calibri" w:hAnsi="Calibri" w:cs="Calibri"/>
          <w:lang w:val="ro-RO"/>
        </w:rPr>
      </w:pPr>
      <w:r w:rsidRPr="0058567A">
        <w:rPr>
          <w:rFonts w:ascii="Calibri" w:hAnsi="Calibri" w:cs="Calibri"/>
          <w:lang w:val="ro-RO"/>
        </w:rPr>
        <w:t>Asigurarea în practică a accesului liber şi egal la servicii medicale de sănătate mintală şi fizică</w:t>
      </w:r>
      <w:r w:rsidRPr="00D46AE7">
        <w:rPr>
          <w:lang w:val="ro-RO"/>
        </w:rPr>
        <w:t>;</w:t>
      </w:r>
    </w:p>
    <w:p w:rsidR="00B50A36" w:rsidRPr="009A01FF" w:rsidRDefault="00B50A36" w:rsidP="00B12674">
      <w:pPr>
        <w:pStyle w:val="Normal10"/>
        <w:numPr>
          <w:ilvl w:val="0"/>
          <w:numId w:val="16"/>
        </w:numPr>
        <w:jc w:val="both"/>
        <w:rPr>
          <w:rFonts w:ascii="Calibri" w:hAnsi="Calibri" w:cs="Calibri"/>
          <w:lang w:val="ro-RO"/>
        </w:rPr>
      </w:pPr>
      <w:r w:rsidRPr="009A01FF">
        <w:rPr>
          <w:rFonts w:ascii="Calibri" w:hAnsi="Calibri" w:cs="Calibri"/>
          <w:lang w:val="ro-RO"/>
        </w:rPr>
        <w:t>Îmbunătă</w:t>
      </w:r>
      <w:r>
        <w:rPr>
          <w:rFonts w:ascii="Calibri" w:hAnsi="Calibri" w:cs="Calibri"/>
          <w:lang w:val="ro-RO"/>
        </w:rPr>
        <w:t>ţ</w:t>
      </w:r>
      <w:r w:rsidRPr="009A01FF">
        <w:rPr>
          <w:rFonts w:ascii="Calibri" w:hAnsi="Calibri" w:cs="Calibri"/>
          <w:lang w:val="ro-RO"/>
        </w:rPr>
        <w:t>irea calită</w:t>
      </w:r>
      <w:r>
        <w:rPr>
          <w:rFonts w:ascii="Calibri" w:hAnsi="Calibri" w:cs="Calibri"/>
          <w:lang w:val="ro-RO"/>
        </w:rPr>
        <w:t>ţ</w:t>
      </w:r>
      <w:r w:rsidRPr="009A01FF">
        <w:rPr>
          <w:rFonts w:ascii="Calibri" w:hAnsi="Calibri" w:cs="Calibri"/>
          <w:lang w:val="ro-RO"/>
        </w:rPr>
        <w:t>ii serviciilor de sănătate prestate popula</w:t>
      </w:r>
      <w:r>
        <w:rPr>
          <w:rFonts w:ascii="Calibri" w:hAnsi="Calibri" w:cs="Calibri"/>
          <w:lang w:val="ro-RO"/>
        </w:rPr>
        <w:t>ţ</w:t>
      </w:r>
      <w:r w:rsidRPr="009A01FF">
        <w:rPr>
          <w:rFonts w:ascii="Calibri" w:hAnsi="Calibri" w:cs="Calibri"/>
          <w:lang w:val="ro-RO"/>
        </w:rPr>
        <w:t>iei generale, în particular grupurilor vulnerabile, inclusiv prin investi</w:t>
      </w:r>
      <w:r>
        <w:rPr>
          <w:rFonts w:ascii="Calibri" w:hAnsi="Calibri" w:cs="Calibri"/>
          <w:lang w:val="ro-RO"/>
        </w:rPr>
        <w:t>ţ</w:t>
      </w:r>
      <w:r w:rsidRPr="009A01FF">
        <w:rPr>
          <w:rFonts w:ascii="Calibri" w:hAnsi="Calibri" w:cs="Calibri"/>
          <w:lang w:val="ro-RO"/>
        </w:rPr>
        <w:t>ii în infrastructur</w:t>
      </w:r>
      <w:r>
        <w:rPr>
          <w:rFonts w:ascii="Calibri" w:hAnsi="Calibri" w:cs="Calibri"/>
          <w:lang w:val="ro-RO"/>
        </w:rPr>
        <w:t>a sistemului de sănătate</w:t>
      </w:r>
      <w:r w:rsidRPr="009A01FF">
        <w:rPr>
          <w:rFonts w:ascii="Calibri" w:hAnsi="Calibri" w:cs="Calibri"/>
          <w:lang w:val="ro-RO"/>
        </w:rPr>
        <w:t>;</w:t>
      </w:r>
    </w:p>
    <w:p w:rsidR="00B50A36" w:rsidRPr="0058567A" w:rsidRDefault="00B50A36" w:rsidP="00B12674">
      <w:pPr>
        <w:pStyle w:val="ColorfulList-Accent11"/>
        <w:numPr>
          <w:ilvl w:val="0"/>
          <w:numId w:val="16"/>
        </w:numPr>
        <w:jc w:val="both"/>
        <w:rPr>
          <w:lang w:val="ro-RO"/>
        </w:rPr>
      </w:pPr>
      <w:r w:rsidRPr="0058567A">
        <w:rPr>
          <w:lang w:val="ro-RO"/>
        </w:rPr>
        <w:t>Monitorizarea mai atentă a tinerilor din categorii sociale vulnerabile și încurajarea accesului regulat la consult medical pentru prevenirea apari</w:t>
      </w:r>
      <w:r>
        <w:rPr>
          <w:lang w:val="ro-RO"/>
        </w:rPr>
        <w:t>ţ</w:t>
      </w:r>
      <w:r w:rsidRPr="0058567A">
        <w:rPr>
          <w:lang w:val="ro-RO"/>
        </w:rPr>
        <w:t>iei unor boli</w:t>
      </w:r>
      <w:r w:rsidRPr="00D46AE7">
        <w:rPr>
          <w:lang w:val="ro-RO"/>
        </w:rPr>
        <w:t>;</w:t>
      </w:r>
    </w:p>
    <w:p w:rsidR="00B50A36" w:rsidRPr="0058567A" w:rsidRDefault="00B50A36" w:rsidP="00B12674">
      <w:pPr>
        <w:pStyle w:val="ColorfulList-Accent11"/>
        <w:numPr>
          <w:ilvl w:val="0"/>
          <w:numId w:val="16"/>
        </w:numPr>
        <w:jc w:val="both"/>
        <w:rPr>
          <w:lang w:val="ro-RO"/>
        </w:rPr>
      </w:pPr>
      <w:r w:rsidRPr="0058567A">
        <w:rPr>
          <w:lang w:val="ro-RO"/>
        </w:rPr>
        <w:t>Promovarea unui pachet integrat de educa</w:t>
      </w:r>
      <w:r>
        <w:rPr>
          <w:lang w:val="ro-RO"/>
        </w:rPr>
        <w:t>ţ</w:t>
      </w:r>
      <w:r w:rsidRPr="0058567A">
        <w:rPr>
          <w:lang w:val="ro-RO"/>
        </w:rPr>
        <w:t>ie pentru sănătate și educa</w:t>
      </w:r>
      <w:r>
        <w:rPr>
          <w:lang w:val="ro-RO"/>
        </w:rPr>
        <w:t>ţ</w:t>
      </w:r>
      <w:r w:rsidRPr="0058567A">
        <w:rPr>
          <w:lang w:val="ro-RO"/>
        </w:rPr>
        <w:t>ie sexuală</w:t>
      </w:r>
      <w:r>
        <w:rPr>
          <w:lang w:val="ro-RO"/>
        </w:rPr>
        <w:t xml:space="preserve"> </w:t>
      </w:r>
      <w:r w:rsidRPr="0058567A">
        <w:rPr>
          <w:lang w:val="ro-RO"/>
        </w:rPr>
        <w:t xml:space="preserve">dedicat tinerilor </w:t>
      </w:r>
      <w:r w:rsidRPr="00D46AE7">
        <w:rPr>
          <w:lang w:val="ro-RO"/>
        </w:rPr>
        <w:t>;</w:t>
      </w:r>
    </w:p>
    <w:p w:rsidR="00B50A36" w:rsidRPr="0058567A" w:rsidRDefault="00B50A36" w:rsidP="00B12674">
      <w:pPr>
        <w:pStyle w:val="ColorfulList-Accent11"/>
        <w:numPr>
          <w:ilvl w:val="0"/>
          <w:numId w:val="16"/>
        </w:numPr>
        <w:jc w:val="both"/>
        <w:rPr>
          <w:lang w:val="ro-RO"/>
        </w:rPr>
      </w:pPr>
      <w:r w:rsidRPr="0058567A">
        <w:rPr>
          <w:lang w:val="ro-RO"/>
        </w:rPr>
        <w:t>Elaborarea unui set de măsuri de conștientizare și planificare familială dedicate tinerelor din categorii vulnerabile social în risc de a naște precoce</w:t>
      </w:r>
      <w:r w:rsidRPr="00D46AE7">
        <w:rPr>
          <w:lang w:val="ro-RO"/>
        </w:rPr>
        <w:t>;</w:t>
      </w:r>
    </w:p>
    <w:p w:rsidR="00B50A36" w:rsidRPr="0058567A" w:rsidRDefault="00B50A36" w:rsidP="00B12674">
      <w:pPr>
        <w:pStyle w:val="ColorfulList-Accent11"/>
        <w:numPr>
          <w:ilvl w:val="0"/>
          <w:numId w:val="16"/>
        </w:numPr>
        <w:spacing w:after="0" w:line="240" w:lineRule="auto"/>
        <w:jc w:val="both"/>
        <w:textAlignment w:val="baseline"/>
        <w:rPr>
          <w:lang w:val="ro-RO"/>
        </w:rPr>
      </w:pPr>
      <w:r w:rsidRPr="0058567A">
        <w:rPr>
          <w:lang w:val="ro-RO"/>
        </w:rPr>
        <w:t>Prevenirea transmiterii infecţiei HIV/SIDA în rândul tinerilor prin dezvoltarea de programe care să răspundă nevoilor specifice ale grupurilor vulnerabile, în acord cu Strategia Naţională HIV/SIDA</w:t>
      </w:r>
      <w:r>
        <w:rPr>
          <w:lang w:val="ro-RO"/>
        </w:rPr>
        <w:t>.</w:t>
      </w:r>
    </w:p>
    <w:p w:rsidR="00B50A36" w:rsidRPr="0058567A" w:rsidRDefault="00B50A36" w:rsidP="00B12674">
      <w:pPr>
        <w:pStyle w:val="ColorfulList-Accent11"/>
        <w:ind w:left="0"/>
        <w:jc w:val="both"/>
        <w:rPr>
          <w:b/>
          <w:bCs/>
          <w:lang w:val="ro-RO"/>
        </w:rPr>
      </w:pPr>
    </w:p>
    <w:p w:rsidR="00B50A36" w:rsidRDefault="00B50A36" w:rsidP="00B12674">
      <w:pPr>
        <w:pStyle w:val="Heading3"/>
        <w:numPr>
          <w:ilvl w:val="0"/>
          <w:numId w:val="26"/>
        </w:numPr>
        <w:jc w:val="both"/>
        <w:rPr>
          <w:lang w:val="ro-RO"/>
        </w:rPr>
      </w:pPr>
      <w:bookmarkStart w:id="94" w:name="_Toc370211887"/>
      <w:r w:rsidRPr="009828EE">
        <w:rPr>
          <w:lang w:val="ro-RO"/>
        </w:rPr>
        <w:t>Exclu</w:t>
      </w:r>
      <w:r>
        <w:rPr>
          <w:lang w:val="ro-RO"/>
        </w:rPr>
        <w:t>ziune de la participare</w:t>
      </w:r>
      <w:bookmarkEnd w:id="94"/>
    </w:p>
    <w:p w:rsidR="00B50A36" w:rsidRPr="003F78DA" w:rsidRDefault="00B50A36" w:rsidP="00B12674">
      <w:pPr>
        <w:pStyle w:val="Heading4"/>
        <w:jc w:val="both"/>
        <w:rPr>
          <w:lang w:val="ro-RO"/>
        </w:rPr>
      </w:pPr>
      <w:r w:rsidRPr="003F78DA">
        <w:rPr>
          <w:lang w:val="ro-RO"/>
        </w:rPr>
        <w:t>Obiective specifice şi direcţii de acţiune</w:t>
      </w:r>
    </w:p>
    <w:p w:rsidR="00B50A36" w:rsidRPr="003F78DA" w:rsidRDefault="00B50A36" w:rsidP="00B12674">
      <w:pPr>
        <w:pStyle w:val="Heading5"/>
        <w:numPr>
          <w:ilvl w:val="1"/>
          <w:numId w:val="26"/>
        </w:numPr>
        <w:jc w:val="both"/>
        <w:rPr>
          <w:lang w:val="ro-RO"/>
        </w:rPr>
      </w:pPr>
      <w:r>
        <w:rPr>
          <w:lang w:val="ro-RO"/>
        </w:rPr>
        <w:t>Încurajarea</w:t>
      </w:r>
      <w:r w:rsidRPr="003F78DA">
        <w:rPr>
          <w:lang w:val="ro-RO"/>
        </w:rPr>
        <w:t xml:space="preserve"> </w:t>
      </w:r>
      <w:r>
        <w:rPr>
          <w:lang w:val="ro-RO"/>
        </w:rPr>
        <w:t>„</w:t>
      </w:r>
      <w:r w:rsidRPr="003F78DA">
        <w:rPr>
          <w:lang w:val="ro-RO"/>
        </w:rPr>
        <w:t>voci</w:t>
      </w:r>
      <w:r>
        <w:rPr>
          <w:lang w:val="ro-RO"/>
        </w:rPr>
        <w:t>i”</w:t>
      </w:r>
      <w:r w:rsidRPr="003F78DA">
        <w:rPr>
          <w:lang w:val="ro-RO"/>
        </w:rPr>
        <w:t xml:space="preserve"> și împuter</w:t>
      </w:r>
      <w:r>
        <w:rPr>
          <w:lang w:val="ro-RO"/>
        </w:rPr>
        <w:t>nicirea comunită</w:t>
      </w:r>
      <w:r>
        <w:rPr>
          <w:rFonts w:ascii="Cambria Math" w:hAnsi="Cambria Math" w:cs="Cambria Math"/>
          <w:lang w:val="ro-RO"/>
        </w:rPr>
        <w:t>ţ</w:t>
      </w:r>
      <w:r>
        <w:rPr>
          <w:lang w:val="ro-RO"/>
        </w:rPr>
        <w:t xml:space="preserve">ilor sărace locuite masiv de copii și tineri </w:t>
      </w:r>
      <w:r w:rsidRPr="003F78DA">
        <w:rPr>
          <w:lang w:val="ro-RO"/>
        </w:rPr>
        <w:t>și a categoriilor de tineri excluse social</w:t>
      </w:r>
    </w:p>
    <w:p w:rsidR="00B50A36" w:rsidRDefault="00B50A36" w:rsidP="00B12674">
      <w:pPr>
        <w:pStyle w:val="Heading6"/>
        <w:jc w:val="both"/>
        <w:rPr>
          <w:rFonts w:cs="Times New Roman"/>
          <w:lang w:val="ro-RO"/>
        </w:rPr>
      </w:pPr>
      <w:r w:rsidRPr="0001441A">
        <w:rPr>
          <w:lang w:val="ro-RO"/>
        </w:rPr>
        <w:t>Direcţii de acţiune:</w:t>
      </w:r>
    </w:p>
    <w:p w:rsidR="00B50A36" w:rsidRPr="0058567A" w:rsidRDefault="00B50A36" w:rsidP="00B12674">
      <w:pPr>
        <w:pStyle w:val="ColorfulList-Accent11"/>
        <w:widowControl w:val="0"/>
        <w:numPr>
          <w:ilvl w:val="0"/>
          <w:numId w:val="23"/>
        </w:numPr>
        <w:autoSpaceDE w:val="0"/>
        <w:autoSpaceDN w:val="0"/>
        <w:adjustRightInd w:val="0"/>
        <w:jc w:val="both"/>
        <w:rPr>
          <w:lang w:val="ro-RO"/>
        </w:rPr>
      </w:pPr>
      <w:r w:rsidRPr="0058567A">
        <w:rPr>
          <w:lang w:val="ro-RO"/>
        </w:rPr>
        <w:t xml:space="preserve">Participarea tinerilor în toate fazele derulării politicilor publice: </w:t>
      </w:r>
      <w:r>
        <w:rPr>
          <w:lang w:val="ro-RO"/>
        </w:rPr>
        <w:t>conlucrarea serviciilor</w:t>
      </w:r>
      <w:r w:rsidRPr="0058567A">
        <w:rPr>
          <w:lang w:val="ro-RO"/>
        </w:rPr>
        <w:t xml:space="preserve"> pentru </w:t>
      </w:r>
      <w:r w:rsidRPr="0058567A">
        <w:rPr>
          <w:lang w:val="ro-RO"/>
        </w:rPr>
        <w:lastRenderedPageBreak/>
        <w:t xml:space="preserve">tineret, </w:t>
      </w:r>
      <w:r>
        <w:rPr>
          <w:lang w:val="ro-RO"/>
        </w:rPr>
        <w:t>serviciilor sociale şi instituţiilor</w:t>
      </w:r>
      <w:r w:rsidRPr="0058567A">
        <w:rPr>
          <w:lang w:val="ro-RO"/>
        </w:rPr>
        <w:t xml:space="preserve"> de educaţie formală cu tinerii şi familiile lor pentru a preveni excluziunea socială a tinerilor</w:t>
      </w:r>
      <w:r w:rsidRPr="00D46AE7">
        <w:rPr>
          <w:lang w:val="ro-RO"/>
        </w:rPr>
        <w:t>;</w:t>
      </w:r>
    </w:p>
    <w:p w:rsidR="00B50A36" w:rsidRPr="0058567A" w:rsidRDefault="00B50A36" w:rsidP="00B12674">
      <w:pPr>
        <w:pStyle w:val="ColorfulList-Accent11"/>
        <w:numPr>
          <w:ilvl w:val="0"/>
          <w:numId w:val="23"/>
        </w:numPr>
        <w:jc w:val="both"/>
        <w:rPr>
          <w:lang w:val="ro-RO"/>
        </w:rPr>
      </w:pPr>
      <w:r w:rsidRPr="0058567A">
        <w:rPr>
          <w:lang w:val="ro-RO"/>
        </w:rPr>
        <w:t>Încurajarea tinerilor beneficiari din comunită</w:t>
      </w:r>
      <w:r>
        <w:rPr>
          <w:lang w:val="ro-RO"/>
        </w:rPr>
        <w:t>ţ</w:t>
      </w:r>
      <w:r w:rsidRPr="0058567A">
        <w:rPr>
          <w:lang w:val="ro-RO"/>
        </w:rPr>
        <w:t>ile-</w:t>
      </w:r>
      <w:r>
        <w:rPr>
          <w:lang w:val="ro-RO"/>
        </w:rPr>
        <w:t>ţ</w:t>
      </w:r>
      <w:r w:rsidRPr="0058567A">
        <w:rPr>
          <w:lang w:val="ro-RO"/>
        </w:rPr>
        <w:t>intă ale unor proiecte de dezvoltare să participe în toate fazele elaborării și implementării proiectelor respectiv</w:t>
      </w:r>
      <w:r>
        <w:rPr>
          <w:lang w:val="ro-RO"/>
        </w:rPr>
        <w:t>e</w:t>
      </w:r>
      <w:r w:rsidRPr="0058567A">
        <w:rPr>
          <w:lang w:val="ro-RO"/>
        </w:rPr>
        <w:t xml:space="preserve"> și implicarea tinerilor în regenerarea comunită</w:t>
      </w:r>
      <w:r>
        <w:rPr>
          <w:lang w:val="ro-RO"/>
        </w:rPr>
        <w:t>ţ</w:t>
      </w:r>
      <w:r w:rsidRPr="0058567A">
        <w:rPr>
          <w:lang w:val="ro-RO"/>
        </w:rPr>
        <w:t>il</w:t>
      </w:r>
      <w:r>
        <w:rPr>
          <w:lang w:val="ro-RO"/>
        </w:rPr>
        <w:t>or</w:t>
      </w:r>
      <w:r w:rsidRPr="00D46AE7">
        <w:rPr>
          <w:lang w:val="ro-RO"/>
        </w:rPr>
        <w:t>;</w:t>
      </w:r>
    </w:p>
    <w:p w:rsidR="00B50A36" w:rsidRPr="00AA276D" w:rsidRDefault="00B50A36" w:rsidP="00B12674">
      <w:pPr>
        <w:pStyle w:val="ColorfulList-Accent11"/>
        <w:numPr>
          <w:ilvl w:val="0"/>
          <w:numId w:val="23"/>
        </w:numPr>
        <w:jc w:val="both"/>
        <w:rPr>
          <w:lang w:val="ro-RO"/>
        </w:rPr>
      </w:pPr>
      <w:r w:rsidRPr="00AA276D">
        <w:rPr>
          <w:lang w:val="ro-RO"/>
        </w:rPr>
        <w:t>Lansarea unor competiţii de proiecte adresate ONGT pentru a încuraja munca acestora cu tineri defavorizaţi;</w:t>
      </w:r>
    </w:p>
    <w:p w:rsidR="00B50A36" w:rsidRPr="00AA276D" w:rsidRDefault="00B50A36" w:rsidP="00B12674">
      <w:pPr>
        <w:pStyle w:val="ColorfulList-Accent11"/>
        <w:numPr>
          <w:ilvl w:val="0"/>
          <w:numId w:val="23"/>
        </w:numPr>
        <w:jc w:val="both"/>
        <w:rPr>
          <w:lang w:val="ro-RO"/>
        </w:rPr>
      </w:pPr>
      <w:r w:rsidRPr="00AA276D">
        <w:rPr>
          <w:lang w:val="ro-RO"/>
        </w:rPr>
        <w:t>Încurajarea tinerilor aflaţi în sărăcie extremă, fără nicio experienţă pe piaţa muncii și deprivaţi social să participe în forme de voluntariat care să le ofere alte beneficii decât cele bănești, să le permită acumularea de experienţă profesională și reintegrarea socială;</w:t>
      </w:r>
    </w:p>
    <w:p w:rsidR="00B50A36" w:rsidRPr="00632B38" w:rsidRDefault="00B50A36" w:rsidP="00B12674">
      <w:pPr>
        <w:pStyle w:val="ColorfulList-Accent11"/>
        <w:ind w:left="360"/>
        <w:jc w:val="both"/>
        <w:rPr>
          <w:lang w:val="ro-RO"/>
        </w:rPr>
      </w:pPr>
    </w:p>
    <w:p w:rsidR="00B50A36" w:rsidRDefault="00B50A36" w:rsidP="00B12674">
      <w:pPr>
        <w:pStyle w:val="Heading3"/>
        <w:numPr>
          <w:ilvl w:val="0"/>
          <w:numId w:val="26"/>
        </w:numPr>
        <w:jc w:val="both"/>
        <w:rPr>
          <w:lang w:val="ro-RO"/>
        </w:rPr>
      </w:pPr>
      <w:bookmarkStart w:id="95" w:name="_Toc370211888"/>
      <w:r>
        <w:rPr>
          <w:lang w:val="ro-RO"/>
        </w:rPr>
        <w:t>Sărăcie, excluziune socială și grupuri vulnerabile</w:t>
      </w:r>
      <w:bookmarkEnd w:id="95"/>
    </w:p>
    <w:p w:rsidR="00B50A36" w:rsidRPr="003F78DA" w:rsidRDefault="00B50A36" w:rsidP="00B12674">
      <w:pPr>
        <w:pStyle w:val="Heading4"/>
        <w:jc w:val="both"/>
        <w:rPr>
          <w:lang w:val="ro-RO"/>
        </w:rPr>
      </w:pPr>
      <w:r w:rsidRPr="003F78DA">
        <w:rPr>
          <w:lang w:val="ro-RO"/>
        </w:rPr>
        <w:t>Obiective specifice şi direcţii de acţiune</w:t>
      </w:r>
    </w:p>
    <w:p w:rsidR="00B50A36" w:rsidRPr="0002274F" w:rsidRDefault="00B50A36" w:rsidP="00B12674">
      <w:pPr>
        <w:pStyle w:val="Heading5"/>
        <w:numPr>
          <w:ilvl w:val="1"/>
          <w:numId w:val="26"/>
        </w:numPr>
        <w:jc w:val="both"/>
        <w:rPr>
          <w:rFonts w:cs="Times New Roman"/>
          <w:lang w:val="ro-RO"/>
        </w:rPr>
      </w:pPr>
      <w:r w:rsidRPr="0002274F">
        <w:rPr>
          <w:lang w:val="ro-RO"/>
        </w:rPr>
        <w:t>Relansarea politicilor de combatere a sărăciei și promovare a incluziunii sociale în România cu accent pe tineri și copii pentru a reduce deficitele pe toate dimensiunile vie</w:t>
      </w:r>
      <w:r>
        <w:rPr>
          <w:rFonts w:ascii="Cambria Math" w:hAnsi="Cambria Math" w:cs="Cambria Math"/>
          <w:lang w:val="ro-RO"/>
        </w:rPr>
        <w:t>ţ</w:t>
      </w:r>
      <w:r w:rsidRPr="0002274F">
        <w:rPr>
          <w:lang w:val="ro-RO"/>
        </w:rPr>
        <w:t>ii</w:t>
      </w:r>
      <w:r>
        <w:rPr>
          <w:lang w:val="ro-RO"/>
        </w:rPr>
        <w:t>,</w:t>
      </w:r>
      <w:r w:rsidRPr="0002274F">
        <w:rPr>
          <w:lang w:val="ro-RO"/>
        </w:rPr>
        <w:t xml:space="preserve"> acumulate în stadiile ini</w:t>
      </w:r>
      <w:r>
        <w:rPr>
          <w:rFonts w:ascii="Cambria Math" w:hAnsi="Cambria Math" w:cs="Cambria Math"/>
          <w:lang w:val="ro-RO"/>
        </w:rPr>
        <w:t>ţ</w:t>
      </w:r>
      <w:r w:rsidRPr="0002274F">
        <w:rPr>
          <w:lang w:val="ro-RO"/>
        </w:rPr>
        <w:t>iale ale vie</w:t>
      </w:r>
      <w:r>
        <w:rPr>
          <w:rFonts w:ascii="Cambria Math" w:hAnsi="Cambria Math" w:cs="Cambria Math"/>
          <w:lang w:val="ro-RO"/>
        </w:rPr>
        <w:t>ţ</w:t>
      </w:r>
      <w:r w:rsidRPr="0002274F">
        <w:rPr>
          <w:lang w:val="ro-RO"/>
        </w:rPr>
        <w:t>ii, deficite care sunt de așteptat să marcheze negativ tot parcursul ulterior al indivizilor și să devin</w:t>
      </w:r>
      <w:r>
        <w:rPr>
          <w:lang w:val="ro-RO"/>
        </w:rPr>
        <w:t>ă mult mai dificil de recuperat</w:t>
      </w:r>
    </w:p>
    <w:p w:rsidR="00B50A36" w:rsidRPr="0002274F" w:rsidRDefault="00B50A36" w:rsidP="00B12674">
      <w:pPr>
        <w:pStyle w:val="ColorfulList-Accent11"/>
        <w:ind w:left="0"/>
        <w:jc w:val="both"/>
        <w:rPr>
          <w:b/>
          <w:bCs/>
          <w:sz w:val="24"/>
          <w:szCs w:val="24"/>
          <w:lang w:val="ro-RO"/>
        </w:rPr>
      </w:pPr>
    </w:p>
    <w:p w:rsidR="00B50A36" w:rsidRDefault="00B50A36" w:rsidP="00B12674">
      <w:pPr>
        <w:pStyle w:val="Heading6"/>
        <w:jc w:val="both"/>
        <w:rPr>
          <w:rFonts w:cs="Times New Roman"/>
          <w:lang w:val="ro-RO"/>
        </w:rPr>
      </w:pPr>
      <w:r w:rsidRPr="00291EB1">
        <w:rPr>
          <w:lang w:val="ro-RO"/>
        </w:rPr>
        <w:t>Direcţii de acţiune:</w:t>
      </w:r>
    </w:p>
    <w:p w:rsidR="00B50A36" w:rsidRPr="001F3C9C" w:rsidRDefault="00B50A36" w:rsidP="00B12674">
      <w:pPr>
        <w:pStyle w:val="ColorfulList-Accent11"/>
        <w:widowControl w:val="0"/>
        <w:numPr>
          <w:ilvl w:val="0"/>
          <w:numId w:val="12"/>
        </w:numPr>
        <w:autoSpaceDE w:val="0"/>
        <w:autoSpaceDN w:val="0"/>
        <w:adjustRightInd w:val="0"/>
        <w:jc w:val="both"/>
        <w:rPr>
          <w:lang w:val="ro-RO"/>
        </w:rPr>
      </w:pPr>
      <w:r w:rsidRPr="00E317CB">
        <w:rPr>
          <w:lang w:val="ro-RO"/>
        </w:rPr>
        <w:t xml:space="preserve">Combaterea sărăciei </w:t>
      </w:r>
      <w:r>
        <w:rPr>
          <w:lang w:val="ro-RO"/>
        </w:rPr>
        <w:t>ș</w:t>
      </w:r>
      <w:r w:rsidRPr="00E317CB">
        <w:rPr>
          <w:lang w:val="ro-RO"/>
        </w:rPr>
        <w:t>i a excluziunii sociale a tinerilor şi a transmiterii intergeneraţionale, precum şi întărirea coeziunii la nivel societal şi a solidarităţii cu tinerii</w:t>
      </w:r>
      <w:r w:rsidRPr="00D46AE7">
        <w:rPr>
          <w:lang w:val="ro-RO"/>
        </w:rPr>
        <w:t>;</w:t>
      </w:r>
    </w:p>
    <w:p w:rsidR="00B50A36" w:rsidRPr="001F3C9C" w:rsidRDefault="00B50A36" w:rsidP="00B12674">
      <w:pPr>
        <w:pStyle w:val="ColorfulList-Accent11"/>
        <w:widowControl w:val="0"/>
        <w:numPr>
          <w:ilvl w:val="0"/>
          <w:numId w:val="12"/>
        </w:numPr>
        <w:autoSpaceDE w:val="0"/>
        <w:autoSpaceDN w:val="0"/>
        <w:adjustRightInd w:val="0"/>
        <w:jc w:val="both"/>
        <w:rPr>
          <w:lang w:val="ro-RO"/>
        </w:rPr>
      </w:pPr>
      <w:r w:rsidRPr="00E317CB">
        <w:rPr>
          <w:lang w:val="ro-RO"/>
        </w:rPr>
        <w:t>Cre</w:t>
      </w:r>
      <w:r>
        <w:rPr>
          <w:lang w:val="ro-RO"/>
        </w:rPr>
        <w:t>ș</w:t>
      </w:r>
      <w:r w:rsidRPr="00E317CB">
        <w:rPr>
          <w:lang w:val="ro-RO"/>
        </w:rPr>
        <w:t xml:space="preserve">terea accentului pe prevenire, cea mai eficientă </w:t>
      </w:r>
      <w:r>
        <w:rPr>
          <w:lang w:val="ro-RO"/>
        </w:rPr>
        <w:t>ș</w:t>
      </w:r>
      <w:r w:rsidRPr="00E317CB">
        <w:rPr>
          <w:lang w:val="ro-RO"/>
        </w:rPr>
        <w:t xml:space="preserve">i viabilă cale de combatere a sărăciei </w:t>
      </w:r>
      <w:r>
        <w:rPr>
          <w:lang w:val="ro-RO"/>
        </w:rPr>
        <w:t>ș</w:t>
      </w:r>
      <w:r w:rsidRPr="00E317CB">
        <w:rPr>
          <w:lang w:val="ro-RO"/>
        </w:rPr>
        <w:t xml:space="preserve">i a excluziunii sociale </w:t>
      </w:r>
      <w:r>
        <w:rPr>
          <w:lang w:val="ro-RO"/>
        </w:rPr>
        <w:t>ș</w:t>
      </w:r>
      <w:r w:rsidRPr="00E317CB">
        <w:rPr>
          <w:lang w:val="ro-RO"/>
        </w:rPr>
        <w:t>i pe intervenţia timpurie pentru a se evita situaţia în care persoanele care ajung în sărăcie rămân prinse în situaţii socio-economice tot mai dificile</w:t>
      </w:r>
      <w:r w:rsidRPr="00D46AE7">
        <w:rPr>
          <w:lang w:val="ro-RO"/>
        </w:rPr>
        <w:t>;</w:t>
      </w:r>
    </w:p>
    <w:p w:rsidR="00B50A36" w:rsidRPr="001F3C9C" w:rsidRDefault="00B50A36" w:rsidP="00B12674">
      <w:pPr>
        <w:pStyle w:val="ColorfulList-Accent11"/>
        <w:widowControl w:val="0"/>
        <w:numPr>
          <w:ilvl w:val="0"/>
          <w:numId w:val="12"/>
        </w:numPr>
        <w:autoSpaceDE w:val="0"/>
        <w:autoSpaceDN w:val="0"/>
        <w:adjustRightInd w:val="0"/>
        <w:jc w:val="both"/>
        <w:rPr>
          <w:lang w:val="ro-RO"/>
        </w:rPr>
      </w:pPr>
      <w:r w:rsidRPr="00E317CB">
        <w:rPr>
          <w:lang w:val="ro-RO"/>
        </w:rPr>
        <w:t xml:space="preserve">Adoptarea unei abordări intersectoriale în demersurile de îmbunătăţire a coeziunii comunitare şi solidarităţii, precum şi în cele de reducere a excluziunii sociale a tinerilor, abordând într-o manieră integrată problemele acestei categorii, inclusiv prin acţiuni de îmbunătăţire a participării la procesul educaţional, integrarea pe piaţa muncii, accesul la servicii locative, sociale </w:t>
      </w:r>
      <w:r>
        <w:rPr>
          <w:lang w:val="ro-RO"/>
        </w:rPr>
        <w:t>ș</w:t>
      </w:r>
      <w:r w:rsidRPr="00E317CB">
        <w:rPr>
          <w:lang w:val="ro-RO"/>
        </w:rPr>
        <w:t xml:space="preserve">i de îngrijire medicală, precum </w:t>
      </w:r>
      <w:r>
        <w:rPr>
          <w:lang w:val="ro-RO"/>
        </w:rPr>
        <w:t>ș</w:t>
      </w:r>
      <w:r w:rsidRPr="00E317CB">
        <w:rPr>
          <w:lang w:val="ro-RO"/>
        </w:rPr>
        <w:t>i combaterea discriminării;</w:t>
      </w:r>
    </w:p>
    <w:p w:rsidR="00B50A36" w:rsidRPr="001F3C9C" w:rsidRDefault="00B50A36" w:rsidP="00B12674">
      <w:pPr>
        <w:pStyle w:val="ColorfulList-Accent11"/>
        <w:widowControl w:val="0"/>
        <w:numPr>
          <w:ilvl w:val="1"/>
          <w:numId w:val="12"/>
        </w:numPr>
        <w:autoSpaceDE w:val="0"/>
        <w:autoSpaceDN w:val="0"/>
        <w:adjustRightInd w:val="0"/>
        <w:jc w:val="both"/>
        <w:rPr>
          <w:lang w:val="ro-RO"/>
        </w:rPr>
      </w:pPr>
      <w:r w:rsidRPr="00E317CB">
        <w:rPr>
          <w:lang w:val="ro-RO"/>
        </w:rPr>
        <w:t xml:space="preserve">acţiuni de combatere a sărăciei </w:t>
      </w:r>
      <w:r>
        <w:rPr>
          <w:lang w:val="ro-RO"/>
        </w:rPr>
        <w:t>ș</w:t>
      </w:r>
      <w:r w:rsidRPr="00E317CB">
        <w:rPr>
          <w:lang w:val="ro-RO"/>
        </w:rPr>
        <w:t xml:space="preserve">i a excluziunii pe întreg spectrul de politici; pentru a răspunde nevoilor tinerilor şi pentru a asigura coerenţă în politicile privind bunăstarea şi acces la sistemele de asistenţă şi protecţie, trebuie întărită cooperarea intersectorială, precum şi cea între nivelurile local, regional, naţional şi european. </w:t>
      </w:r>
    </w:p>
    <w:p w:rsidR="00B50A36" w:rsidRPr="00CB7502" w:rsidRDefault="00B50A36" w:rsidP="00B12674">
      <w:pPr>
        <w:pStyle w:val="ColorfulList-Accent11"/>
        <w:numPr>
          <w:ilvl w:val="0"/>
          <w:numId w:val="12"/>
        </w:numPr>
        <w:spacing w:after="0" w:line="240" w:lineRule="auto"/>
        <w:jc w:val="both"/>
        <w:rPr>
          <w:noProof/>
          <w:lang w:val="en-AU"/>
        </w:rPr>
      </w:pPr>
      <w:r w:rsidRPr="00CB7502">
        <w:rPr>
          <w:noProof/>
          <w:lang w:val="en-AU"/>
        </w:rPr>
        <w:lastRenderedPageBreak/>
        <w:t>Identificarea mecanismelor pentru direc</w:t>
      </w:r>
      <w:r>
        <w:rPr>
          <w:noProof/>
          <w:lang w:val="en-AU"/>
        </w:rPr>
        <w:t>ţ</w:t>
      </w:r>
      <w:r w:rsidRPr="00CB7502">
        <w:rPr>
          <w:noProof/>
          <w:lang w:val="en-AU"/>
        </w:rPr>
        <w:t>ionarea unei păr</w:t>
      </w:r>
      <w:r>
        <w:rPr>
          <w:noProof/>
          <w:lang w:val="en-AU"/>
        </w:rPr>
        <w:t>ţ</w:t>
      </w:r>
      <w:r w:rsidRPr="00CB7502">
        <w:rPr>
          <w:noProof/>
          <w:lang w:val="en-AU"/>
        </w:rPr>
        <w:t>i a resurselor europene și din bugetul na</w:t>
      </w:r>
      <w:r>
        <w:rPr>
          <w:noProof/>
          <w:lang w:val="en-AU"/>
        </w:rPr>
        <w:t>ţ</w:t>
      </w:r>
      <w:r w:rsidRPr="00CB7502">
        <w:rPr>
          <w:noProof/>
          <w:lang w:val="en-AU"/>
        </w:rPr>
        <w:t>ional spre reabilitarea infrastructurii serviciilor sociale</w:t>
      </w:r>
      <w:r w:rsidRPr="00D46AE7">
        <w:rPr>
          <w:lang w:val="ro-RO"/>
        </w:rPr>
        <w:t>;</w:t>
      </w:r>
    </w:p>
    <w:p w:rsidR="00B50A36" w:rsidRDefault="00B50A36" w:rsidP="00B12674">
      <w:pPr>
        <w:pStyle w:val="ColorfulList-Accent11"/>
        <w:widowControl w:val="0"/>
        <w:autoSpaceDE w:val="0"/>
        <w:autoSpaceDN w:val="0"/>
        <w:adjustRightInd w:val="0"/>
        <w:ind w:left="0"/>
        <w:jc w:val="both"/>
      </w:pPr>
    </w:p>
    <w:p w:rsidR="00B50A36" w:rsidRPr="009A01FF" w:rsidRDefault="00B50A36" w:rsidP="00B12674">
      <w:pPr>
        <w:pStyle w:val="ColorfulList-Accent11"/>
        <w:numPr>
          <w:ilvl w:val="0"/>
          <w:numId w:val="12"/>
        </w:numPr>
        <w:spacing w:after="0" w:line="240" w:lineRule="auto"/>
        <w:jc w:val="both"/>
        <w:rPr>
          <w:noProof/>
          <w:lang w:val="en-AU"/>
        </w:rPr>
      </w:pPr>
      <w:r w:rsidRPr="009A01FF">
        <w:rPr>
          <w:noProof/>
          <w:lang w:val="en-AU"/>
        </w:rPr>
        <w:t>Crearea mecanismului necesar pentru transformarea autorită</w:t>
      </w:r>
      <w:r>
        <w:rPr>
          <w:noProof/>
          <w:lang w:val="en-AU"/>
        </w:rPr>
        <w:t>ţ</w:t>
      </w:r>
      <w:r w:rsidRPr="009A01FF">
        <w:rPr>
          <w:noProof/>
          <w:lang w:val="en-AU"/>
        </w:rPr>
        <w:t>ii locale în actor principal în eradicarea sărăciei și a consecin</w:t>
      </w:r>
      <w:r>
        <w:rPr>
          <w:noProof/>
          <w:lang w:val="en-AU"/>
        </w:rPr>
        <w:t>ţ</w:t>
      </w:r>
      <w:r w:rsidRPr="009A01FF">
        <w:rPr>
          <w:noProof/>
          <w:lang w:val="en-AU"/>
        </w:rPr>
        <w:t>elor acesteia la nivel local;</w:t>
      </w:r>
    </w:p>
    <w:p w:rsidR="00B50A36" w:rsidRPr="009A01FF" w:rsidRDefault="00B50A36" w:rsidP="00B12674">
      <w:pPr>
        <w:pStyle w:val="ColorfulList-Accent11"/>
        <w:spacing w:after="0" w:line="240" w:lineRule="auto"/>
        <w:ind w:left="360"/>
        <w:jc w:val="both"/>
        <w:rPr>
          <w:noProof/>
          <w:lang w:val="en-AU"/>
        </w:rPr>
      </w:pPr>
    </w:p>
    <w:p w:rsidR="00B50A36" w:rsidRPr="009A01FF" w:rsidRDefault="00B50A36" w:rsidP="00B12674">
      <w:pPr>
        <w:pStyle w:val="ColorfulList-Accent11"/>
        <w:numPr>
          <w:ilvl w:val="0"/>
          <w:numId w:val="12"/>
        </w:numPr>
        <w:spacing w:after="0" w:line="240" w:lineRule="auto"/>
        <w:jc w:val="both"/>
        <w:rPr>
          <w:noProof/>
          <w:lang w:val="en-AU"/>
        </w:rPr>
      </w:pPr>
      <w:r>
        <w:rPr>
          <w:noProof/>
          <w:lang w:val="en-AU"/>
        </w:rPr>
        <w:t>Promovarea tranziţiei</w:t>
      </w:r>
      <w:r w:rsidRPr="009A01FF">
        <w:rPr>
          <w:noProof/>
          <w:lang w:val="en-AU"/>
        </w:rPr>
        <w:t xml:space="preserve"> de la îngrijirea institu</w:t>
      </w:r>
      <w:r>
        <w:rPr>
          <w:noProof/>
          <w:lang w:val="en-AU"/>
        </w:rPr>
        <w:t>ţ</w:t>
      </w:r>
      <w:r w:rsidRPr="009A01FF">
        <w:rPr>
          <w:noProof/>
          <w:lang w:val="en-AU"/>
        </w:rPr>
        <w:t>ională la servicii comunitare, inclusiv prin sprijin infrastructural pentru centre integrate de îngrijire comunitară;</w:t>
      </w:r>
    </w:p>
    <w:p w:rsidR="00B50A36" w:rsidRPr="009A01FF" w:rsidRDefault="00B50A36" w:rsidP="00B12674">
      <w:pPr>
        <w:pStyle w:val="ColorfulList-Accent11"/>
        <w:spacing w:after="0" w:line="240" w:lineRule="auto"/>
        <w:ind w:left="360"/>
        <w:jc w:val="both"/>
        <w:rPr>
          <w:noProof/>
          <w:lang w:val="en-AU"/>
        </w:rPr>
      </w:pPr>
    </w:p>
    <w:p w:rsidR="00B50A36" w:rsidRPr="009A01FF" w:rsidRDefault="00B50A36" w:rsidP="00B12674">
      <w:pPr>
        <w:pStyle w:val="ColorfulList-Accent11"/>
        <w:numPr>
          <w:ilvl w:val="0"/>
          <w:numId w:val="12"/>
        </w:numPr>
        <w:spacing w:after="0" w:line="240" w:lineRule="auto"/>
        <w:jc w:val="both"/>
        <w:rPr>
          <w:noProof/>
          <w:lang w:val="en-AU"/>
        </w:rPr>
      </w:pPr>
      <w:r w:rsidRPr="009A01FF">
        <w:rPr>
          <w:noProof/>
          <w:lang w:val="en-AU"/>
        </w:rPr>
        <w:t>Îmbunătă</w:t>
      </w:r>
      <w:r>
        <w:rPr>
          <w:noProof/>
          <w:lang w:val="en-AU"/>
        </w:rPr>
        <w:t>ţ</w:t>
      </w:r>
      <w:r w:rsidRPr="009A01FF">
        <w:rPr>
          <w:noProof/>
          <w:lang w:val="en-AU"/>
        </w:rPr>
        <w:t>irea calită</w:t>
      </w:r>
      <w:r>
        <w:rPr>
          <w:noProof/>
          <w:lang w:val="en-AU"/>
        </w:rPr>
        <w:t>ţ</w:t>
      </w:r>
      <w:r w:rsidRPr="009A01FF">
        <w:rPr>
          <w:noProof/>
          <w:lang w:val="en-AU"/>
        </w:rPr>
        <w:t>i vie</w:t>
      </w:r>
      <w:r>
        <w:rPr>
          <w:noProof/>
          <w:lang w:val="en-AU"/>
        </w:rPr>
        <w:t>ţ</w:t>
      </w:r>
      <w:r w:rsidRPr="009A01FF">
        <w:rPr>
          <w:noProof/>
          <w:lang w:val="en-AU"/>
        </w:rPr>
        <w:t>ii și a atractivită</w:t>
      </w:r>
      <w:r>
        <w:rPr>
          <w:noProof/>
          <w:lang w:val="en-AU"/>
        </w:rPr>
        <w:t>ţ</w:t>
      </w:r>
      <w:r w:rsidRPr="009A01FF">
        <w:rPr>
          <w:noProof/>
          <w:lang w:val="en-AU"/>
        </w:rPr>
        <w:t>ii localită</w:t>
      </w:r>
      <w:r>
        <w:rPr>
          <w:noProof/>
          <w:lang w:val="en-AU"/>
        </w:rPr>
        <w:t>ţ</w:t>
      </w:r>
      <w:r w:rsidRPr="009A01FF">
        <w:rPr>
          <w:noProof/>
          <w:lang w:val="en-AU"/>
        </w:rPr>
        <w:t>ilor rurale</w:t>
      </w:r>
      <w:r>
        <w:rPr>
          <w:noProof/>
          <w:lang w:val="en-AU"/>
        </w:rPr>
        <w:t xml:space="preserve"> pentru tineri</w:t>
      </w:r>
      <w:r w:rsidRPr="009A01FF">
        <w:rPr>
          <w:noProof/>
          <w:lang w:val="en-AU"/>
        </w:rPr>
        <w:t>;</w:t>
      </w:r>
    </w:p>
    <w:p w:rsidR="00B50A36" w:rsidRPr="009A01FF" w:rsidRDefault="00B50A36" w:rsidP="00B12674">
      <w:pPr>
        <w:pStyle w:val="ColorfulList-Accent11"/>
        <w:spacing w:after="0" w:line="240" w:lineRule="auto"/>
        <w:ind w:left="360"/>
        <w:jc w:val="both"/>
        <w:rPr>
          <w:noProof/>
          <w:lang w:val="en-AU"/>
        </w:rPr>
      </w:pPr>
    </w:p>
    <w:p w:rsidR="00B50A36" w:rsidRPr="007875AA" w:rsidRDefault="00B50A36" w:rsidP="00B12674">
      <w:pPr>
        <w:pStyle w:val="ColorfulList-Accent11"/>
        <w:numPr>
          <w:ilvl w:val="0"/>
          <w:numId w:val="12"/>
        </w:numPr>
        <w:jc w:val="both"/>
        <w:rPr>
          <w:lang w:val="ro-RO"/>
        </w:rPr>
      </w:pPr>
      <w:r w:rsidRPr="007875AA">
        <w:rPr>
          <w:lang w:val="ro-RO"/>
        </w:rPr>
        <w:t>Întărirea responsabilizării părinţilor și a colaborării cu serviciile de asistenţă socială şi dezvoltarea funcţiilor sociale ale autorităţilor publice comunitare;</w:t>
      </w:r>
    </w:p>
    <w:p w:rsidR="00B50A36" w:rsidRPr="007875AA" w:rsidRDefault="00B50A36" w:rsidP="00B12674">
      <w:pPr>
        <w:pStyle w:val="ColorfulList-Accent11"/>
        <w:numPr>
          <w:ilvl w:val="0"/>
          <w:numId w:val="12"/>
        </w:numPr>
        <w:jc w:val="both"/>
        <w:rPr>
          <w:lang w:val="ro-RO"/>
        </w:rPr>
      </w:pPr>
      <w:r w:rsidRPr="007875AA">
        <w:rPr>
          <w:lang w:val="ro-RO"/>
        </w:rPr>
        <w:t>Elaborarea de către autorităţile responsabile (Guvern, MMFPSPV) a unui program prioritar, parte a strategiei anti-sărăcie și de promovare a incluziunii sociale, aflate în curs de elaborare: Incluziunea socială a copiilor și tinerilor aflaţi în sărăcie extremă şi cu risc ridicat de marginalizare/ excluziune socială; elaborarea unui pachet complex de servicii sociale adesate copiilor și tinerilor din zonele cu sărăcie extremă, în vederea facilitării accesului la educaţie, acordării de alimentaţie sănătoasă,  creşterii capacităţii de dezvoltare personală;</w:t>
      </w:r>
    </w:p>
    <w:p w:rsidR="00B50A36" w:rsidRPr="007875AA" w:rsidRDefault="00B50A36" w:rsidP="00B12674">
      <w:pPr>
        <w:pStyle w:val="ColorfulList-Accent11"/>
        <w:widowControl w:val="0"/>
        <w:numPr>
          <w:ilvl w:val="0"/>
          <w:numId w:val="12"/>
        </w:numPr>
        <w:autoSpaceDE w:val="0"/>
        <w:autoSpaceDN w:val="0"/>
        <w:adjustRightInd w:val="0"/>
        <w:jc w:val="both"/>
        <w:rPr>
          <w:lang w:val="ro-RO"/>
        </w:rPr>
      </w:pPr>
      <w:r w:rsidRPr="007875AA">
        <w:rPr>
          <w:lang w:val="ro-RO"/>
        </w:rPr>
        <w:t>Îmbunătăţirea accesului la asistenţă socială a tinerilor în nevoie, pentru a-și valorifica drepturile; sprijinirea activităţilor de informare şi educare a tinerilor cu privire la drepturile lor;</w:t>
      </w:r>
    </w:p>
    <w:p w:rsidR="00B50A36" w:rsidRPr="007875AA" w:rsidRDefault="00B50A36" w:rsidP="00B12674">
      <w:pPr>
        <w:pStyle w:val="ColorfulList-Accent11"/>
        <w:widowControl w:val="0"/>
        <w:numPr>
          <w:ilvl w:val="0"/>
          <w:numId w:val="12"/>
        </w:numPr>
        <w:autoSpaceDE w:val="0"/>
        <w:autoSpaceDN w:val="0"/>
        <w:adjustRightInd w:val="0"/>
        <w:jc w:val="both"/>
        <w:rPr>
          <w:lang w:val="ro-RO"/>
        </w:rPr>
      </w:pPr>
      <w:r w:rsidRPr="007875AA">
        <w:rPr>
          <w:lang w:val="ro-RO"/>
        </w:rPr>
        <w:t xml:space="preserve"> Valorificarea întregului potenţial al muncii de tineret, al centrelor de tineret şi al caselor de cultură ale studenţilor ca mijloace de incluziune;</w:t>
      </w:r>
    </w:p>
    <w:p w:rsidR="00B50A36" w:rsidRPr="007875AA" w:rsidRDefault="00B50A36" w:rsidP="00B12674">
      <w:pPr>
        <w:pStyle w:val="ColorfulList-Accent11"/>
        <w:widowControl w:val="0"/>
        <w:numPr>
          <w:ilvl w:val="0"/>
          <w:numId w:val="12"/>
        </w:numPr>
        <w:autoSpaceDE w:val="0"/>
        <w:autoSpaceDN w:val="0"/>
        <w:adjustRightInd w:val="0"/>
        <w:jc w:val="both"/>
        <w:rPr>
          <w:lang w:val="ro-RO"/>
        </w:rPr>
      </w:pPr>
      <w:r w:rsidRPr="007875AA">
        <w:rPr>
          <w:lang w:val="ro-RO"/>
        </w:rPr>
        <w:t>Sprijinirea dezvoltării cunoaşterii şi competenţelor interculturale ale tuturor tinerilor şi combaterea prejudecăţilor;</w:t>
      </w:r>
    </w:p>
    <w:p w:rsidR="00B50A36" w:rsidRPr="007875AA" w:rsidRDefault="00B50A36" w:rsidP="00B12674">
      <w:pPr>
        <w:pStyle w:val="ColorfulList-Accent11"/>
        <w:widowControl w:val="0"/>
        <w:numPr>
          <w:ilvl w:val="0"/>
          <w:numId w:val="12"/>
        </w:numPr>
        <w:autoSpaceDE w:val="0"/>
        <w:autoSpaceDN w:val="0"/>
        <w:adjustRightInd w:val="0"/>
        <w:jc w:val="both"/>
        <w:rPr>
          <w:lang w:val="ro-RO"/>
        </w:rPr>
      </w:pPr>
      <w:r w:rsidRPr="007875AA">
        <w:rPr>
          <w:lang w:val="ro-RO"/>
        </w:rPr>
        <w:t>Dezvoltarea unei culturi pro-active, participative și orientate spre voluntariat în rândul publicului general și al persoanelor asistate social, precum și încurajarea abordărilor bazate pe parteneriat în abordarea sărăciei;</w:t>
      </w:r>
    </w:p>
    <w:p w:rsidR="00B50A36" w:rsidRPr="007875AA" w:rsidRDefault="00B50A36" w:rsidP="00B12674">
      <w:pPr>
        <w:jc w:val="both"/>
        <w:rPr>
          <w:b/>
          <w:bCs/>
          <w:lang w:val="ro-RO"/>
        </w:rPr>
      </w:pPr>
    </w:p>
    <w:p w:rsidR="00B50A36" w:rsidRPr="007875AA" w:rsidRDefault="00B50A36" w:rsidP="00B12674">
      <w:pPr>
        <w:pStyle w:val="Heading5"/>
        <w:numPr>
          <w:ilvl w:val="1"/>
          <w:numId w:val="26"/>
        </w:numPr>
        <w:jc w:val="both"/>
        <w:rPr>
          <w:rFonts w:cs="Times New Roman"/>
          <w:lang w:val="ro-RO"/>
        </w:rPr>
      </w:pPr>
      <w:r w:rsidRPr="007875AA">
        <w:rPr>
          <w:lang w:val="ro-RO"/>
        </w:rPr>
        <w:t>Conceperea unor noi programe de construire sau amenajare de locuin</w:t>
      </w:r>
      <w:r w:rsidRPr="007875AA">
        <w:rPr>
          <w:rFonts w:ascii="Cambria Math" w:hAnsi="Cambria Math" w:cs="Cambria Math"/>
          <w:lang w:val="ro-RO"/>
        </w:rPr>
        <w:t>ţ</w:t>
      </w:r>
      <w:r w:rsidRPr="007875AA">
        <w:rPr>
          <w:lang w:val="ro-RO"/>
        </w:rPr>
        <w:t>e sociale, care să permită implementarea prevederilor legale care îndreptă</w:t>
      </w:r>
      <w:r w:rsidRPr="007875AA">
        <w:rPr>
          <w:rFonts w:ascii="Cambria Math" w:hAnsi="Cambria Math" w:cs="Cambria Math"/>
          <w:lang w:val="ro-RO"/>
        </w:rPr>
        <w:t>ţ</w:t>
      </w:r>
      <w:r w:rsidRPr="007875AA">
        <w:rPr>
          <w:lang w:val="ro-RO"/>
        </w:rPr>
        <w:t>esc tinerii defavoriza</w:t>
      </w:r>
      <w:r w:rsidRPr="007875AA">
        <w:rPr>
          <w:rFonts w:ascii="Cambria Math" w:hAnsi="Cambria Math" w:cs="Cambria Math"/>
          <w:lang w:val="ro-RO"/>
        </w:rPr>
        <w:t>ţ</w:t>
      </w:r>
      <w:r w:rsidRPr="007875AA">
        <w:rPr>
          <w:lang w:val="ro-RO"/>
        </w:rPr>
        <w:t>i la o locuin</w:t>
      </w:r>
      <w:r w:rsidRPr="007875AA">
        <w:rPr>
          <w:rFonts w:ascii="Cambria Math" w:hAnsi="Cambria Math" w:cs="Cambria Math"/>
          <w:lang w:val="ro-RO"/>
        </w:rPr>
        <w:t>ţ</w:t>
      </w:r>
      <w:r w:rsidRPr="007875AA">
        <w:rPr>
          <w:lang w:val="ro-RO"/>
        </w:rPr>
        <w:t xml:space="preserve">ă </w:t>
      </w:r>
    </w:p>
    <w:p w:rsidR="00442ABA" w:rsidRDefault="00442ABA" w:rsidP="00B12674">
      <w:pPr>
        <w:pStyle w:val="Heading6"/>
        <w:jc w:val="both"/>
        <w:rPr>
          <w:lang w:val="ro-RO"/>
        </w:rPr>
      </w:pPr>
    </w:p>
    <w:p w:rsidR="00B50A36" w:rsidRDefault="00B50A36" w:rsidP="00B12674">
      <w:pPr>
        <w:pStyle w:val="Heading6"/>
        <w:jc w:val="both"/>
        <w:rPr>
          <w:rFonts w:cs="Times New Roman"/>
          <w:lang w:val="ro-RO"/>
        </w:rPr>
      </w:pPr>
      <w:r w:rsidRPr="0001441A">
        <w:rPr>
          <w:lang w:val="ro-RO"/>
        </w:rPr>
        <w:t>Direcţii de acţiune:</w:t>
      </w:r>
    </w:p>
    <w:p w:rsidR="00B50A36" w:rsidRPr="0058567A" w:rsidRDefault="00B50A36" w:rsidP="00B12674">
      <w:pPr>
        <w:pStyle w:val="ColorfulList-Accent11"/>
        <w:numPr>
          <w:ilvl w:val="0"/>
          <w:numId w:val="15"/>
        </w:numPr>
        <w:jc w:val="both"/>
        <w:rPr>
          <w:lang w:val="ro-RO"/>
        </w:rPr>
      </w:pPr>
      <w:r w:rsidRPr="0058567A">
        <w:rPr>
          <w:lang w:val="ro-RO"/>
        </w:rPr>
        <w:t>Elaborarea unei strategii /concepţii asupra programelor de locuinţe sociale și diagnoza nevoii reale de locuin</w:t>
      </w:r>
      <w:r>
        <w:rPr>
          <w:lang w:val="ro-RO"/>
        </w:rPr>
        <w:t>ţ</w:t>
      </w:r>
      <w:r w:rsidRPr="0058567A">
        <w:rPr>
          <w:lang w:val="ro-RO"/>
        </w:rPr>
        <w:t>e sociale la nivelul României</w:t>
      </w:r>
      <w:r w:rsidRPr="00D46AE7">
        <w:rPr>
          <w:lang w:val="ro-RO"/>
        </w:rPr>
        <w:t>;</w:t>
      </w:r>
    </w:p>
    <w:p w:rsidR="00B50A36" w:rsidRPr="0058567A" w:rsidRDefault="00B50A36" w:rsidP="00B12674">
      <w:pPr>
        <w:pStyle w:val="ColorfulList-Accent11"/>
        <w:numPr>
          <w:ilvl w:val="0"/>
          <w:numId w:val="15"/>
        </w:numPr>
        <w:jc w:val="both"/>
        <w:rPr>
          <w:lang w:val="ro-RO"/>
        </w:rPr>
      </w:pPr>
      <w:r w:rsidRPr="0058567A">
        <w:rPr>
          <w:lang w:val="ro-RO"/>
        </w:rPr>
        <w:lastRenderedPageBreak/>
        <w:t>Continuarea acordării de facilită</w:t>
      </w:r>
      <w:r>
        <w:rPr>
          <w:lang w:val="ro-RO"/>
        </w:rPr>
        <w:t>ţ</w:t>
      </w:r>
      <w:r w:rsidRPr="0058567A">
        <w:rPr>
          <w:lang w:val="ro-RO"/>
        </w:rPr>
        <w:t>i pentru achizi</w:t>
      </w:r>
      <w:r>
        <w:rPr>
          <w:lang w:val="ro-RO"/>
        </w:rPr>
        <w:t>ţ</w:t>
      </w:r>
      <w:r w:rsidRPr="0058567A">
        <w:rPr>
          <w:lang w:val="ro-RO"/>
        </w:rPr>
        <w:t>ionarea unei locuin</w:t>
      </w:r>
      <w:r>
        <w:rPr>
          <w:lang w:val="ro-RO"/>
        </w:rPr>
        <w:t>ţ</w:t>
      </w:r>
      <w:r w:rsidRPr="0058567A">
        <w:rPr>
          <w:lang w:val="ro-RO"/>
        </w:rPr>
        <w:t>e pentru tineri și demararea, odată cu revirimentul economic, a unor noi programe de locuin</w:t>
      </w:r>
      <w:r>
        <w:rPr>
          <w:lang w:val="ro-RO"/>
        </w:rPr>
        <w:t>ţ</w:t>
      </w:r>
      <w:r w:rsidRPr="0058567A">
        <w:rPr>
          <w:lang w:val="ro-RO"/>
        </w:rPr>
        <w:t>e adresate tinerilor</w:t>
      </w:r>
      <w:r w:rsidRPr="00D46AE7">
        <w:rPr>
          <w:lang w:val="ro-RO"/>
        </w:rPr>
        <w:t>;</w:t>
      </w:r>
    </w:p>
    <w:p w:rsidR="00B50A36" w:rsidRPr="007875AA" w:rsidRDefault="00B50A36" w:rsidP="00B12674">
      <w:pPr>
        <w:pStyle w:val="ColorfulList-Accent11"/>
        <w:numPr>
          <w:ilvl w:val="0"/>
          <w:numId w:val="15"/>
        </w:numPr>
        <w:jc w:val="both"/>
        <w:rPr>
          <w:lang w:val="ro-RO"/>
        </w:rPr>
      </w:pPr>
      <w:r w:rsidRPr="007875AA">
        <w:rPr>
          <w:lang w:val="ro-RO"/>
        </w:rPr>
        <w:t>Realizarea unui stoc de locuinţe sociale, la nivel de 20% din nevoi, până la nivelul anului 2020.</w:t>
      </w:r>
    </w:p>
    <w:p w:rsidR="00B50A36" w:rsidRPr="007875AA" w:rsidRDefault="00B50A36" w:rsidP="00B12674">
      <w:pPr>
        <w:jc w:val="both"/>
        <w:rPr>
          <w:b/>
          <w:bCs/>
          <w:lang w:val="ro-RO"/>
        </w:rPr>
      </w:pPr>
    </w:p>
    <w:p w:rsidR="00B50A36" w:rsidRPr="007875AA" w:rsidRDefault="00B50A36" w:rsidP="00B12674">
      <w:pPr>
        <w:pStyle w:val="Heading5"/>
        <w:numPr>
          <w:ilvl w:val="1"/>
          <w:numId w:val="26"/>
        </w:numPr>
        <w:jc w:val="both"/>
        <w:rPr>
          <w:rFonts w:cs="Times New Roman"/>
          <w:lang w:val="ro-RO"/>
        </w:rPr>
      </w:pPr>
      <w:r w:rsidRPr="007875AA">
        <w:rPr>
          <w:lang w:val="ro-RO"/>
        </w:rPr>
        <w:t>Elaborarea și implementarea în parteneriat cu toate institu</w:t>
      </w:r>
      <w:r w:rsidRPr="007875AA">
        <w:rPr>
          <w:rFonts w:ascii="Cambria Math" w:hAnsi="Cambria Math" w:cs="Cambria Math"/>
          <w:lang w:val="ro-RO"/>
        </w:rPr>
        <w:t>ţ</w:t>
      </w:r>
      <w:r w:rsidRPr="007875AA">
        <w:rPr>
          <w:lang w:val="ro-RO"/>
        </w:rPr>
        <w:t xml:space="preserve">iile responsabile din toate sectoarele a unor măsuri de suport special pentru grupurile de tineri vulnerabile social </w:t>
      </w:r>
    </w:p>
    <w:p w:rsidR="00B50A36" w:rsidRPr="00632B38" w:rsidRDefault="00B50A36" w:rsidP="00B12674">
      <w:pPr>
        <w:pStyle w:val="ColorfulList-Accent11"/>
        <w:ind w:left="0"/>
        <w:jc w:val="both"/>
        <w:rPr>
          <w:sz w:val="24"/>
          <w:szCs w:val="24"/>
          <w:lang w:val="ro-RO"/>
        </w:rPr>
      </w:pPr>
    </w:p>
    <w:p w:rsidR="00B50A36" w:rsidRDefault="00B50A36" w:rsidP="00B12674">
      <w:pPr>
        <w:pStyle w:val="Heading6"/>
        <w:jc w:val="both"/>
        <w:rPr>
          <w:rFonts w:cs="Times New Roman"/>
          <w:lang w:val="ro-RO"/>
        </w:rPr>
      </w:pPr>
      <w:r w:rsidRPr="0001441A">
        <w:rPr>
          <w:lang w:val="ro-RO"/>
        </w:rPr>
        <w:t>Direcţii de acţiune:</w:t>
      </w:r>
    </w:p>
    <w:p w:rsidR="00B50A36" w:rsidRPr="00384E9A" w:rsidRDefault="00B50A36" w:rsidP="00B12674">
      <w:pPr>
        <w:pStyle w:val="ColorfulList-Accent11"/>
        <w:numPr>
          <w:ilvl w:val="0"/>
          <w:numId w:val="17"/>
        </w:numPr>
        <w:jc w:val="both"/>
        <w:rPr>
          <w:lang w:val="ro-RO"/>
        </w:rPr>
      </w:pPr>
      <w:r w:rsidRPr="00384E9A">
        <w:rPr>
          <w:lang w:val="ro-RO"/>
        </w:rPr>
        <w:t>Lărgirea atribu</w:t>
      </w:r>
      <w:r>
        <w:rPr>
          <w:lang w:val="ro-RO"/>
        </w:rPr>
        <w:t>ţ</w:t>
      </w:r>
      <w:r w:rsidRPr="00384E9A">
        <w:rPr>
          <w:lang w:val="ro-RO"/>
        </w:rPr>
        <w:t xml:space="preserve">iilor centrelor de tineret şi ale </w:t>
      </w:r>
      <w:r>
        <w:rPr>
          <w:lang w:val="ro-RO"/>
        </w:rPr>
        <w:t>c</w:t>
      </w:r>
      <w:r w:rsidRPr="00384E9A">
        <w:rPr>
          <w:lang w:val="ro-RO"/>
        </w:rPr>
        <w:t xml:space="preserve">aselor de </w:t>
      </w:r>
      <w:r>
        <w:rPr>
          <w:lang w:val="ro-RO"/>
        </w:rPr>
        <w:t>c</w:t>
      </w:r>
      <w:r w:rsidRPr="00384E9A">
        <w:rPr>
          <w:lang w:val="ro-RO"/>
        </w:rPr>
        <w:t xml:space="preserve">ultură ale </w:t>
      </w:r>
      <w:r>
        <w:rPr>
          <w:lang w:val="ro-RO"/>
        </w:rPr>
        <w:t>s</w:t>
      </w:r>
      <w:r w:rsidRPr="00384E9A">
        <w:rPr>
          <w:lang w:val="ro-RO"/>
        </w:rPr>
        <w:t>tudenţilor pentru a le transforma în institu</w:t>
      </w:r>
      <w:r>
        <w:rPr>
          <w:lang w:val="ro-RO"/>
        </w:rPr>
        <w:t>ţ</w:t>
      </w:r>
      <w:r w:rsidRPr="00384E9A">
        <w:rPr>
          <w:lang w:val="ro-RO"/>
        </w:rPr>
        <w:t>ii care pot fi la nivel local centre de resurse pentru tinerii excluși social și marginaliza</w:t>
      </w:r>
      <w:r>
        <w:rPr>
          <w:lang w:val="ro-RO"/>
        </w:rPr>
        <w:t>ţ</w:t>
      </w:r>
      <w:r w:rsidRPr="00384E9A">
        <w:rPr>
          <w:lang w:val="ro-RO"/>
        </w:rPr>
        <w:t>i, integrând interven</w:t>
      </w:r>
      <w:r>
        <w:rPr>
          <w:lang w:val="ro-RO"/>
        </w:rPr>
        <w:t>ţ</w:t>
      </w:r>
      <w:r w:rsidRPr="00384E9A">
        <w:rPr>
          <w:lang w:val="ro-RO"/>
        </w:rPr>
        <w:t>ia autorită</w:t>
      </w:r>
      <w:r>
        <w:rPr>
          <w:lang w:val="ro-RO"/>
        </w:rPr>
        <w:t>ţ</w:t>
      </w:r>
      <w:r w:rsidRPr="00384E9A">
        <w:rPr>
          <w:lang w:val="ro-RO"/>
        </w:rPr>
        <w:t>il</w:t>
      </w:r>
      <w:r>
        <w:rPr>
          <w:lang w:val="ro-RO"/>
        </w:rPr>
        <w:t>or</w:t>
      </w:r>
      <w:r w:rsidRPr="00384E9A">
        <w:rPr>
          <w:lang w:val="ro-RO"/>
        </w:rPr>
        <w:t xml:space="preserve"> locale cu responsabilită</w:t>
      </w:r>
      <w:r>
        <w:rPr>
          <w:lang w:val="ro-RO"/>
        </w:rPr>
        <w:t>ţ</w:t>
      </w:r>
      <w:r w:rsidRPr="00384E9A">
        <w:rPr>
          <w:lang w:val="ro-RO"/>
        </w:rPr>
        <w:t>i sectoriale în implementarea politicilor de tineret;</w:t>
      </w:r>
    </w:p>
    <w:p w:rsidR="00B50A36" w:rsidRDefault="00B50A36" w:rsidP="00B12674">
      <w:pPr>
        <w:pStyle w:val="ColorfulList-Accent11"/>
        <w:numPr>
          <w:ilvl w:val="0"/>
          <w:numId w:val="17"/>
        </w:numPr>
        <w:jc w:val="both"/>
        <w:rPr>
          <w:lang w:val="ro-RO"/>
        </w:rPr>
      </w:pPr>
      <w:r w:rsidRPr="00384E9A">
        <w:rPr>
          <w:lang w:val="ro-RO"/>
        </w:rPr>
        <w:t>Implicarea activă a organiza</w:t>
      </w:r>
      <w:r>
        <w:rPr>
          <w:lang w:val="ro-RO"/>
        </w:rPr>
        <w:t>ţ</w:t>
      </w:r>
      <w:r w:rsidRPr="00384E9A">
        <w:rPr>
          <w:lang w:val="ro-RO"/>
        </w:rPr>
        <w:t>iilor neguvernamentale de şi pentru tineret</w:t>
      </w:r>
      <w:r w:rsidRPr="00384E9A" w:rsidDel="00CD2143">
        <w:rPr>
          <w:lang w:val="ro-RO"/>
        </w:rPr>
        <w:t xml:space="preserve"> </w:t>
      </w:r>
      <w:r w:rsidRPr="00384E9A">
        <w:rPr>
          <w:lang w:val="ro-RO"/>
        </w:rPr>
        <w:t>şi actualizarea continuă a structurilor de sprijin, metodelor de lucru şi canalelor de comunicare, la nivel local, regional, naţional, în vederea iniţierii, creării, adoptării, implementării şi monitorizării politicilor care afectează viaţa tinerilor;</w:t>
      </w:r>
    </w:p>
    <w:p w:rsidR="00B50A36" w:rsidRPr="00EF1D22" w:rsidRDefault="00B50A36" w:rsidP="00B12674">
      <w:pPr>
        <w:pStyle w:val="ColorfulList-Accent11"/>
        <w:numPr>
          <w:ilvl w:val="0"/>
          <w:numId w:val="17"/>
        </w:numPr>
        <w:jc w:val="both"/>
        <w:rPr>
          <w:lang w:val="ro-RO"/>
        </w:rPr>
      </w:pPr>
      <w:r w:rsidRPr="00EF1D22">
        <w:rPr>
          <w:lang w:val="ro-RO"/>
        </w:rPr>
        <w:t>Utilizarea mai bună a potenţialului pe care îl reprezintă lucrătorii de tineret, inclusiv prin prevederi legislative privind angajarea în serviciile publice destinate protecţiei şi incluziunii tinerilor;</w:t>
      </w:r>
    </w:p>
    <w:p w:rsidR="00B50A36" w:rsidRPr="0058567A" w:rsidRDefault="00B50A36" w:rsidP="00B12674">
      <w:pPr>
        <w:pStyle w:val="ColorfulList-Accent11"/>
        <w:numPr>
          <w:ilvl w:val="0"/>
          <w:numId w:val="17"/>
        </w:numPr>
        <w:jc w:val="both"/>
        <w:rPr>
          <w:lang w:val="ro-RO"/>
        </w:rPr>
      </w:pPr>
      <w:r w:rsidRPr="0058567A">
        <w:rPr>
          <w:lang w:val="ro-RO"/>
        </w:rPr>
        <w:t>Finalizarea actu</w:t>
      </w:r>
      <w:r>
        <w:rPr>
          <w:lang w:val="ro-RO"/>
        </w:rPr>
        <w:t>alizării strategiei pentru romi, includere</w:t>
      </w:r>
      <w:r w:rsidRPr="0058567A">
        <w:rPr>
          <w:lang w:val="ro-RO"/>
        </w:rPr>
        <w:t>a problemelor romilor în problematica social-econom</w:t>
      </w:r>
      <w:r>
        <w:rPr>
          <w:lang w:val="ro-RO"/>
        </w:rPr>
        <w:t>ică a restului populaţiei și dezvoltare</w:t>
      </w:r>
      <w:r w:rsidRPr="0058567A">
        <w:rPr>
          <w:lang w:val="ro-RO"/>
        </w:rPr>
        <w:t>a unor programe complementare pentru romi care să adreseze problemele lor pe ansamblul comunită</w:t>
      </w:r>
      <w:r>
        <w:rPr>
          <w:lang w:val="ro-RO"/>
        </w:rPr>
        <w:t>ţ</w:t>
      </w:r>
      <w:r w:rsidRPr="0058567A">
        <w:rPr>
          <w:lang w:val="ro-RO"/>
        </w:rPr>
        <w:t>ilor de reziden</w:t>
      </w:r>
      <w:r>
        <w:rPr>
          <w:lang w:val="ro-RO"/>
        </w:rPr>
        <w:t>ţ</w:t>
      </w:r>
      <w:r w:rsidRPr="0058567A">
        <w:rPr>
          <w:lang w:val="ro-RO"/>
        </w:rPr>
        <w:t>ă</w:t>
      </w:r>
      <w:r w:rsidRPr="00D46AE7">
        <w:rPr>
          <w:lang w:val="ro-RO"/>
        </w:rPr>
        <w:t>;</w:t>
      </w:r>
    </w:p>
    <w:p w:rsidR="00B50A36" w:rsidRPr="0058567A" w:rsidRDefault="00B50A36" w:rsidP="00B12674">
      <w:pPr>
        <w:pStyle w:val="ColorfulList-Accent11"/>
        <w:numPr>
          <w:ilvl w:val="0"/>
          <w:numId w:val="17"/>
        </w:numPr>
        <w:jc w:val="both"/>
        <w:rPr>
          <w:lang w:val="ro-RO"/>
        </w:rPr>
      </w:pPr>
      <w:r w:rsidRPr="0058567A">
        <w:rPr>
          <w:lang w:val="ro-RO"/>
        </w:rPr>
        <w:t>Elaborarea unor măsuri pentru diminuarea riscurilor importante pentru copiii și tinerii rămaşi în ţară după emigrarea părin</w:t>
      </w:r>
      <w:r>
        <w:rPr>
          <w:lang w:val="ro-RO"/>
        </w:rPr>
        <w:t>ţ</w:t>
      </w:r>
      <w:r w:rsidRPr="0058567A">
        <w:rPr>
          <w:lang w:val="ro-RO"/>
        </w:rPr>
        <w:t>ilor și lipsiţi de suportul serviciilor de asistenţă socială</w:t>
      </w:r>
      <w:r w:rsidRPr="00D46AE7">
        <w:rPr>
          <w:lang w:val="ro-RO"/>
        </w:rPr>
        <w:t>;</w:t>
      </w:r>
    </w:p>
    <w:p w:rsidR="00B50A36" w:rsidRPr="0058567A" w:rsidRDefault="00B50A36" w:rsidP="00B12674">
      <w:pPr>
        <w:pStyle w:val="ColorfulList-Accent11"/>
        <w:numPr>
          <w:ilvl w:val="0"/>
          <w:numId w:val="17"/>
        </w:numPr>
        <w:jc w:val="both"/>
        <w:rPr>
          <w:lang w:val="ro-RO"/>
        </w:rPr>
      </w:pPr>
      <w:r>
        <w:rPr>
          <w:lang w:val="ro-RO"/>
        </w:rPr>
        <w:t>Eficientizarea politicilor</w:t>
      </w:r>
      <w:r w:rsidRPr="0058567A">
        <w:rPr>
          <w:lang w:val="ro-RO"/>
        </w:rPr>
        <w:t xml:space="preserve"> de combatere a discriminării tinerilor, deoarece pentru numeroase grupuri și persoane, sursele sărăciei și precarită</w:t>
      </w:r>
      <w:r>
        <w:rPr>
          <w:lang w:val="ro-RO"/>
        </w:rPr>
        <w:t>ţ</w:t>
      </w:r>
      <w:r w:rsidRPr="0058567A">
        <w:rPr>
          <w:lang w:val="ro-RO"/>
        </w:rPr>
        <w:t>ii se află foarte adesea în restric</w:t>
      </w:r>
      <w:r>
        <w:rPr>
          <w:lang w:val="ro-RO"/>
        </w:rPr>
        <w:t>ţ</w:t>
      </w:r>
      <w:r w:rsidRPr="0058567A">
        <w:rPr>
          <w:lang w:val="ro-RO"/>
        </w:rPr>
        <w:t>iile de la oportunită</w:t>
      </w:r>
      <w:r>
        <w:rPr>
          <w:lang w:val="ro-RO"/>
        </w:rPr>
        <w:t>ţ</w:t>
      </w:r>
      <w:r w:rsidRPr="0058567A">
        <w:rPr>
          <w:lang w:val="ro-RO"/>
        </w:rPr>
        <w:t>ile și drepturile la care au acces celelalte grupur</w:t>
      </w:r>
      <w:r>
        <w:rPr>
          <w:lang w:val="ro-RO"/>
        </w:rPr>
        <w:t>i</w:t>
      </w:r>
      <w:r w:rsidRPr="00D46AE7">
        <w:rPr>
          <w:lang w:val="ro-RO"/>
        </w:rPr>
        <w:t>;</w:t>
      </w:r>
    </w:p>
    <w:p w:rsidR="00B50A36" w:rsidRPr="0058567A" w:rsidRDefault="00B50A36" w:rsidP="00B12674">
      <w:pPr>
        <w:pStyle w:val="ColorfulList-Accent11"/>
        <w:numPr>
          <w:ilvl w:val="0"/>
          <w:numId w:val="17"/>
        </w:numPr>
        <w:jc w:val="both"/>
        <w:rPr>
          <w:lang w:val="ro-RO"/>
        </w:rPr>
      </w:pPr>
      <w:r w:rsidRPr="0058567A">
        <w:rPr>
          <w:lang w:val="ro-RO"/>
        </w:rPr>
        <w:t xml:space="preserve">Integrarea actiunilor de combatere a fenomenului copiilor și tinerilor fără adăpost </w:t>
      </w:r>
      <w:r>
        <w:rPr>
          <w:lang w:val="ro-RO"/>
        </w:rPr>
        <w:t>în ansamblul strategiilor de acţiune ș</w:t>
      </w:r>
      <w:r w:rsidRPr="0058567A">
        <w:rPr>
          <w:lang w:val="ro-RO"/>
        </w:rPr>
        <w:t>i al politicilor sociale iniţiate de MMSSPV; pregătirea unui cadru institutional integrat de interventie</w:t>
      </w:r>
      <w:r w:rsidRPr="00D46AE7">
        <w:rPr>
          <w:lang w:val="ro-RO"/>
        </w:rPr>
        <w:t>;</w:t>
      </w:r>
    </w:p>
    <w:p w:rsidR="00B50A36" w:rsidRDefault="00B50A36" w:rsidP="00B12674">
      <w:pPr>
        <w:pStyle w:val="ColorfulList-Accent11"/>
        <w:numPr>
          <w:ilvl w:val="0"/>
          <w:numId w:val="17"/>
        </w:numPr>
        <w:jc w:val="both"/>
        <w:rPr>
          <w:lang w:val="ro-RO"/>
        </w:rPr>
      </w:pPr>
      <w:r w:rsidRPr="0058567A">
        <w:rPr>
          <w:lang w:val="ro-RO"/>
        </w:rPr>
        <w:t>Corelarea şi simplificarea serviciilor dedicate categoriei copiilor și tinerilor fără adăpost şi acordarea lor într-un pachet integrat  - este nevoie de colaborare instituţională pentru a acorda integrat suport - acte de identitate, asistenţă medicală, asistenţă socială (indemnizaţii), acces la pensii, acces la adăposturi şi locuinţe sociale, acces la sistemul educaţional, ac</w:t>
      </w:r>
      <w:r>
        <w:rPr>
          <w:lang w:val="ro-RO"/>
        </w:rPr>
        <w:t>ces la oportunităţi de angajare.</w:t>
      </w:r>
    </w:p>
    <w:p w:rsidR="00B50A36" w:rsidRPr="0058567A" w:rsidRDefault="00B50A36" w:rsidP="00B12674">
      <w:pPr>
        <w:pStyle w:val="ColorfulList-Accent11"/>
        <w:numPr>
          <w:ilvl w:val="1"/>
          <w:numId w:val="17"/>
        </w:numPr>
        <w:jc w:val="both"/>
        <w:rPr>
          <w:lang w:val="ro-RO"/>
        </w:rPr>
      </w:pPr>
      <w:r w:rsidRPr="0058567A">
        <w:rPr>
          <w:lang w:val="ro-RO"/>
        </w:rPr>
        <w:lastRenderedPageBreak/>
        <w:t>Creşterea accesului acestei categorii la drepturile legale oferite prin legi precum venitul minim garantat, legea marginalizării sociale, legea economiei sociale şi alte legi care includ această categorie socială printre beneficiarii eligibili</w:t>
      </w:r>
      <w:r w:rsidRPr="00D46AE7">
        <w:rPr>
          <w:lang w:val="ro-RO"/>
        </w:rPr>
        <w:t>;</w:t>
      </w:r>
    </w:p>
    <w:p w:rsidR="00B50A36" w:rsidRPr="0058567A" w:rsidRDefault="00B50A36" w:rsidP="00B12674">
      <w:pPr>
        <w:pStyle w:val="ColorfulList-Accent11"/>
        <w:numPr>
          <w:ilvl w:val="0"/>
          <w:numId w:val="17"/>
        </w:numPr>
        <w:jc w:val="both"/>
        <w:rPr>
          <w:lang w:val="ro-RO"/>
        </w:rPr>
      </w:pPr>
      <w:r w:rsidRPr="0058567A">
        <w:rPr>
          <w:lang w:val="ro-RO"/>
        </w:rPr>
        <w:t>Prevenirea transmiterii mai ales prin transmitere sexuală a HIV /SIDA în rândul tinerilor și reducerea, în acord cu prevederile Strategiei HIV/SIDA, până în 2015 cu cel puţin 20% a incidenţei HIV în rândul tinerilor de 15 – 29 de ani faţă de 2010</w:t>
      </w:r>
      <w:r w:rsidRPr="00D46AE7">
        <w:rPr>
          <w:lang w:val="ro-RO"/>
        </w:rPr>
        <w:t>;</w:t>
      </w:r>
    </w:p>
    <w:p w:rsidR="00B50A36" w:rsidRPr="007875AA" w:rsidRDefault="00B50A36" w:rsidP="00B12674">
      <w:pPr>
        <w:pStyle w:val="ColorfulList-Accent11"/>
        <w:numPr>
          <w:ilvl w:val="0"/>
          <w:numId w:val="17"/>
        </w:numPr>
        <w:jc w:val="both"/>
        <w:rPr>
          <w:lang w:val="ro-RO"/>
        </w:rPr>
      </w:pPr>
      <w:r w:rsidRPr="0058567A">
        <w:rPr>
          <w:lang w:val="ro-RO"/>
        </w:rPr>
        <w:t>Combaterea formelor specifice de discriminare și excluziune cu care se confruntă tinerii cu nevoi speciale, asigurarea asisten</w:t>
      </w:r>
      <w:r>
        <w:rPr>
          <w:lang w:val="ro-RO"/>
        </w:rPr>
        <w:t>ţ</w:t>
      </w:r>
      <w:r w:rsidRPr="0058567A">
        <w:rPr>
          <w:lang w:val="ro-RO"/>
        </w:rPr>
        <w:t>ei specializate pentru reintegrarea ocupa</w:t>
      </w:r>
      <w:r>
        <w:rPr>
          <w:lang w:val="ro-RO"/>
        </w:rPr>
        <w:t>ţ</w:t>
      </w:r>
      <w:r w:rsidRPr="0058567A">
        <w:rPr>
          <w:lang w:val="ro-RO"/>
        </w:rPr>
        <w:t xml:space="preserve">ională și socială a acestor </w:t>
      </w:r>
      <w:r w:rsidRPr="007875AA">
        <w:rPr>
          <w:lang w:val="ro-RO"/>
        </w:rPr>
        <w:t>tineri;</w:t>
      </w:r>
    </w:p>
    <w:p w:rsidR="00B50A36" w:rsidRPr="007875AA" w:rsidRDefault="00B50A36" w:rsidP="00B12674">
      <w:pPr>
        <w:pStyle w:val="ColorfulList-Accent11"/>
        <w:numPr>
          <w:ilvl w:val="0"/>
          <w:numId w:val="17"/>
        </w:numPr>
        <w:jc w:val="both"/>
        <w:rPr>
          <w:lang w:val="ro-RO"/>
        </w:rPr>
      </w:pPr>
      <w:r w:rsidRPr="007875AA">
        <w:rPr>
          <w:lang w:val="ro-RO"/>
        </w:rPr>
        <w:t>Creșterea resurselor, în special a serviciilor, pentru persoanele cu probleme de sănătate mintală;</w:t>
      </w:r>
    </w:p>
    <w:p w:rsidR="00B50A36" w:rsidRPr="007875AA" w:rsidRDefault="00B50A36" w:rsidP="00B12674">
      <w:pPr>
        <w:pStyle w:val="ColorfulList-Accent11"/>
        <w:numPr>
          <w:ilvl w:val="0"/>
          <w:numId w:val="17"/>
        </w:numPr>
        <w:jc w:val="both"/>
        <w:rPr>
          <w:lang w:val="ro-RO"/>
        </w:rPr>
      </w:pPr>
      <w:r w:rsidRPr="007875AA">
        <w:rPr>
          <w:lang w:val="ro-RO"/>
        </w:rPr>
        <w:t>Acordarea de asistenţă pentru dobândirea unei locuinţe, acces la educaţie și la servicii de sănătate al tinerilor care părăsesc centrele de plasament.</w:t>
      </w:r>
    </w:p>
    <w:p w:rsidR="00B50A36" w:rsidRPr="007875AA" w:rsidRDefault="00B50A36" w:rsidP="00B12674">
      <w:pPr>
        <w:spacing w:after="0" w:line="240" w:lineRule="auto"/>
        <w:jc w:val="both"/>
        <w:rPr>
          <w:lang w:val="ro-RO"/>
        </w:rPr>
      </w:pPr>
    </w:p>
    <w:p w:rsidR="00B50A36" w:rsidRDefault="00B50A36" w:rsidP="00B12674">
      <w:pPr>
        <w:pStyle w:val="Heading1"/>
        <w:jc w:val="both"/>
        <w:rPr>
          <w:rFonts w:cs="Times New Roman"/>
          <w:lang w:val="ro-RO"/>
        </w:rPr>
      </w:pPr>
      <w:bookmarkStart w:id="96" w:name="_Toc370211889"/>
      <w:r>
        <w:rPr>
          <w:lang w:val="ro-RO"/>
        </w:rPr>
        <w:t>Mecanisme de implementare şi programe de suport</w:t>
      </w:r>
      <w:bookmarkEnd w:id="96"/>
    </w:p>
    <w:p w:rsidR="00B50A36" w:rsidRDefault="00B50A36" w:rsidP="00B12674">
      <w:pPr>
        <w:pStyle w:val="Heading2"/>
        <w:numPr>
          <w:ilvl w:val="3"/>
          <w:numId w:val="11"/>
        </w:numPr>
        <w:ind w:left="1080" w:hanging="360"/>
        <w:jc w:val="both"/>
        <w:rPr>
          <w:lang w:val="ro-RO"/>
        </w:rPr>
      </w:pPr>
      <w:bookmarkStart w:id="97" w:name="_Toc370211890"/>
      <w:r>
        <w:rPr>
          <w:lang w:val="ro-RO"/>
        </w:rPr>
        <w:t>Mecanisme de implementare</w:t>
      </w:r>
      <w:bookmarkEnd w:id="97"/>
    </w:p>
    <w:p w:rsidR="00B50A36" w:rsidRPr="0058567A" w:rsidRDefault="00B50A36" w:rsidP="00B12674">
      <w:pPr>
        <w:jc w:val="both"/>
        <w:rPr>
          <w:lang w:val="ro-RO"/>
        </w:rPr>
      </w:pPr>
      <w:r w:rsidRPr="0058567A">
        <w:rPr>
          <w:lang w:val="ro-RO"/>
        </w:rPr>
        <w:t>Strategia va trebui implementată la nivel naţional, regional, judeţean şi local, cu participarea autorităţilor publice constituite la respectivele niveluri, atît ale puterii cât şi ale administraţiei, precum şi cu participarea organizaţiilor societăţii civile şi a tinerilor înşişi. Pentru aceasta sunt necesare mecanisme de coordonare pe verticală şi pe orizontală, cu roluri şi responsabilităţi clar definite din perspectiva principiilor care stau la baza acestei Strategii.</w:t>
      </w:r>
    </w:p>
    <w:p w:rsidR="00B50A36" w:rsidRPr="0058567A" w:rsidRDefault="00B50A36" w:rsidP="00B12674">
      <w:pPr>
        <w:jc w:val="both"/>
        <w:rPr>
          <w:lang w:val="ro-RO"/>
        </w:rPr>
      </w:pPr>
      <w:r w:rsidRPr="0058567A">
        <w:rPr>
          <w:lang w:val="ro-RO"/>
        </w:rPr>
        <w:t>Pentru co</w:t>
      </w:r>
      <w:r>
        <w:rPr>
          <w:lang w:val="ro-RO"/>
        </w:rPr>
        <w:t>ordonarea pe orizontală, se va constitui</w:t>
      </w:r>
      <w:r w:rsidRPr="0058567A">
        <w:rPr>
          <w:lang w:val="ro-RO"/>
        </w:rPr>
        <w:t xml:space="preserve"> o comisie interministerială la nivel central şi comisii regionale, judeţene şi locale la celelalte niveluri, formate din reprezentanţi cu putere de decizie din cadrul entităţilor cu responsabilităţi în implementa</w:t>
      </w:r>
      <w:r>
        <w:rPr>
          <w:lang w:val="ro-RO"/>
        </w:rPr>
        <w:t>rea Strategiei. Acestea vor</w:t>
      </w:r>
      <w:r w:rsidRPr="0058567A">
        <w:rPr>
          <w:lang w:val="ro-RO"/>
        </w:rPr>
        <w:t xml:space="preserve"> includ</w:t>
      </w:r>
      <w:r>
        <w:rPr>
          <w:lang w:val="ro-RO"/>
        </w:rPr>
        <w:t>e</w:t>
      </w:r>
      <w:r w:rsidRPr="0058567A">
        <w:rPr>
          <w:lang w:val="ro-RO"/>
        </w:rPr>
        <w:t xml:space="preserve"> şi reprezentanţi la nivel de conducere ai organizaţiilor </w:t>
      </w:r>
      <w:r>
        <w:rPr>
          <w:sz w:val="24"/>
          <w:szCs w:val="24"/>
          <w:lang w:val="ro-RO"/>
        </w:rPr>
        <w:t>neguvernamentale de şi pentru tineret</w:t>
      </w:r>
      <w:r w:rsidRPr="0058567A" w:rsidDel="00CD2143">
        <w:rPr>
          <w:lang w:val="ro-RO"/>
        </w:rPr>
        <w:t xml:space="preserve"> </w:t>
      </w:r>
      <w:r w:rsidRPr="0058567A">
        <w:rPr>
          <w:lang w:val="ro-RO"/>
        </w:rPr>
        <w:t xml:space="preserve">constituite la respectivele niveluri, precum şi reprezentanţi ai altor organizaţii neguvernamentale cu activitate relevantă în domeniile principale de intervenţie ale Strategiei şi având între grupurile ţintă tinerii şi adolescenţii. </w:t>
      </w:r>
    </w:p>
    <w:p w:rsidR="00B50A36" w:rsidRPr="0058567A" w:rsidRDefault="00B50A36" w:rsidP="00B12674">
      <w:pPr>
        <w:jc w:val="both"/>
        <w:rPr>
          <w:lang w:val="ro-RO"/>
        </w:rPr>
      </w:pPr>
      <w:r w:rsidRPr="0058567A">
        <w:rPr>
          <w:lang w:val="ro-RO"/>
        </w:rPr>
        <w:t>Reprezentanţii organizaţiilor internaţionale şi finanţatorii care sprijină implementarea Strategiei</w:t>
      </w:r>
      <w:r>
        <w:rPr>
          <w:lang w:val="ro-RO"/>
        </w:rPr>
        <w:t xml:space="preserve"> vor fi</w:t>
      </w:r>
      <w:r w:rsidRPr="0058567A">
        <w:rPr>
          <w:lang w:val="ro-RO"/>
        </w:rPr>
        <w:t>, de asemenea, invitaţi să facă parte din comisia interministerială pentru coordonarea implementării Strategiei.</w:t>
      </w:r>
    </w:p>
    <w:p w:rsidR="00B50A36" w:rsidRPr="0058567A" w:rsidRDefault="00B50A36" w:rsidP="00B12674">
      <w:pPr>
        <w:jc w:val="both"/>
        <w:rPr>
          <w:lang w:val="ro-RO"/>
        </w:rPr>
      </w:pPr>
      <w:r w:rsidRPr="0058567A">
        <w:rPr>
          <w:lang w:val="ro-RO"/>
        </w:rPr>
        <w:t xml:space="preserve">Pentru coordonarea pe verticală, entităţile cu responsabilităţi în implementarea Strategiei </w:t>
      </w:r>
      <w:r>
        <w:rPr>
          <w:lang w:val="ro-RO"/>
        </w:rPr>
        <w:t>vor desemna</w:t>
      </w:r>
      <w:r w:rsidRPr="0058567A">
        <w:rPr>
          <w:lang w:val="ro-RO"/>
        </w:rPr>
        <w:t xml:space="preserve"> prin acte interne de decizie personalul care va răspunde de implementare, monitorizare şi raportare a programelor şi măsurilor de intervenţie ce revin fiecărei entităţi, conform structurii teritoriale a fiecăreia. Coordonarea pe verticală cu autorităţile regionale, precum şi cu consiliile judeţene şi locale, urmează a fi realizată de Ministerul Tineretului şi Sportului, ca principală autoritate centrală </w:t>
      </w:r>
      <w:r w:rsidRPr="0058567A">
        <w:rPr>
          <w:lang w:val="ro-RO"/>
        </w:rPr>
        <w:lastRenderedPageBreak/>
        <w:t xml:space="preserve">responsabilă pentru politica de tineret, printr-o structură internă constituită în acest scop. Această structură va ţine şi evidenţa persoanelor responsabile de la nivel central, regional, judeţean şi local desemnate de celelalte entităţi cu responsabilităţi în implementarea Strategiei şi va facilita relaţionarea dintre acestea atât în coordonarea pe verticală cât şi în cea pe orizontală. </w:t>
      </w:r>
    </w:p>
    <w:p w:rsidR="00B50A36" w:rsidRPr="0058567A" w:rsidRDefault="00B50A36" w:rsidP="00B12674">
      <w:pPr>
        <w:jc w:val="both"/>
        <w:rPr>
          <w:lang w:val="ro-RO"/>
        </w:rPr>
      </w:pPr>
      <w:r>
        <w:rPr>
          <w:lang w:val="ro-RO"/>
        </w:rPr>
        <w:t>Pentru implementarea Strategiei se vor elabora</w:t>
      </w:r>
      <w:r w:rsidRPr="0058567A">
        <w:rPr>
          <w:lang w:val="ro-RO"/>
        </w:rPr>
        <w:t xml:space="preserve"> planuri de acţiune sectoriale, pe domeniile principale de intervenţie, precum şi, în unele cazuri, planuri de acţiune intersectoriale şi/sau subsectoriale. Pentru elaborarea şi implementarea planurilor de acţiune vor </w:t>
      </w:r>
      <w:r>
        <w:rPr>
          <w:lang w:val="ro-RO"/>
        </w:rPr>
        <w:t>fi</w:t>
      </w:r>
      <w:r w:rsidRPr="0058567A">
        <w:rPr>
          <w:lang w:val="ro-RO"/>
        </w:rPr>
        <w:t xml:space="preserve"> constituite grupuri de lucru, formate din specialişti ai entităţilor responsabile, desemnaţi în acest scop. Planurile de acţiune vor conţine responsabilităţi pe niveluri de implementare, precum şi sursele de finanţare aferente. În vederea elaborării şi implementării unor planuri de acţiune la nivel judeţean şi local, </w:t>
      </w:r>
      <w:r>
        <w:rPr>
          <w:lang w:val="ro-RO"/>
        </w:rPr>
        <w:t xml:space="preserve">este </w:t>
      </w:r>
      <w:r w:rsidRPr="0058567A">
        <w:rPr>
          <w:lang w:val="ro-RO"/>
        </w:rPr>
        <w:t>necesară constituirea unor comisii pentru problemele tineretului la nivelul consiliilor judeţene şi locale.</w:t>
      </w:r>
    </w:p>
    <w:p w:rsidR="00B50A36" w:rsidRPr="0058567A" w:rsidRDefault="00B50A36" w:rsidP="00B12674">
      <w:pPr>
        <w:jc w:val="both"/>
        <w:rPr>
          <w:lang w:val="ro-RO"/>
        </w:rPr>
      </w:pPr>
      <w:r w:rsidRPr="0058567A">
        <w:rPr>
          <w:lang w:val="ro-RO"/>
        </w:rPr>
        <w:t>Pentru gestionarea programelor şi măsurilor de intervenţie din responsabilitatea M.T.S., prevăzute în planurile de acţiune, precum şi pentru coordonarea cu organizaţiile neguvernamentale şi autorităţile la nivel regional şi</w:t>
      </w:r>
      <w:r w:rsidRPr="00365C09">
        <w:rPr>
          <w:lang w:val="ro-RO"/>
        </w:rPr>
        <w:t>/ sau</w:t>
      </w:r>
      <w:r w:rsidRPr="0058567A">
        <w:rPr>
          <w:lang w:val="ro-RO"/>
        </w:rPr>
        <w:t xml:space="preserve"> judeţean, </w:t>
      </w:r>
      <w:r>
        <w:rPr>
          <w:lang w:val="ro-RO"/>
        </w:rPr>
        <w:t>se vor</w:t>
      </w:r>
      <w:r w:rsidRPr="0058567A">
        <w:rPr>
          <w:lang w:val="ro-RO"/>
        </w:rPr>
        <w:t xml:space="preserve"> înfiinţa agenţii pentru problemele tineretului</w:t>
      </w:r>
      <w:r>
        <w:rPr>
          <w:lang w:val="ro-RO"/>
        </w:rPr>
        <w:t>, în coordonarea M.T.S</w:t>
      </w:r>
      <w:r w:rsidRPr="0058567A">
        <w:rPr>
          <w:lang w:val="ro-RO"/>
        </w:rPr>
        <w:t xml:space="preserve">. Acestea </w:t>
      </w:r>
      <w:r>
        <w:rPr>
          <w:lang w:val="ro-RO"/>
        </w:rPr>
        <w:t>vor</w:t>
      </w:r>
      <w:r w:rsidRPr="0058567A">
        <w:rPr>
          <w:lang w:val="ro-RO"/>
        </w:rPr>
        <w:t xml:space="preserve"> asigur</w:t>
      </w:r>
      <w:r>
        <w:rPr>
          <w:lang w:val="ro-RO"/>
        </w:rPr>
        <w:t>a</w:t>
      </w:r>
      <w:r w:rsidRPr="0058567A">
        <w:rPr>
          <w:lang w:val="ro-RO"/>
        </w:rPr>
        <w:t xml:space="preserve"> şi coagularea part</w:t>
      </w:r>
      <w:r>
        <w:rPr>
          <w:lang w:val="ro-RO"/>
        </w:rPr>
        <w:t>eneriatelor la nivel regional</w:t>
      </w:r>
      <w:r w:rsidRPr="0058567A">
        <w:rPr>
          <w:lang w:val="ro-RO"/>
        </w:rPr>
        <w:t xml:space="preserve"> în vederea elaborării şi implementării unor proiecte de interes major pentru tineret, finanţabile din fonduri europene (e.g. în cadrul Iniţiativei pentru Ocuparea Tinerilor), precum şi monitorizarea implementării la respectivele niveluri a măsurilor cuprinse în planurile de acţiune.</w:t>
      </w:r>
    </w:p>
    <w:p w:rsidR="00B50A36" w:rsidRPr="0058567A" w:rsidRDefault="00B50A36" w:rsidP="00B12674">
      <w:pPr>
        <w:jc w:val="both"/>
        <w:rPr>
          <w:lang w:val="ro-RO"/>
        </w:rPr>
      </w:pPr>
    </w:p>
    <w:p w:rsidR="00B50A36" w:rsidRDefault="00B50A36" w:rsidP="00B12674">
      <w:pPr>
        <w:pStyle w:val="Heading2"/>
        <w:numPr>
          <w:ilvl w:val="3"/>
          <w:numId w:val="11"/>
        </w:numPr>
        <w:ind w:left="1080" w:hanging="360"/>
        <w:jc w:val="both"/>
        <w:rPr>
          <w:lang w:val="ro-RO"/>
        </w:rPr>
      </w:pPr>
      <w:bookmarkStart w:id="98" w:name="_Toc370211891"/>
      <w:r>
        <w:rPr>
          <w:lang w:val="ro-RO"/>
        </w:rPr>
        <w:t>Programe de suport</w:t>
      </w:r>
      <w:bookmarkEnd w:id="98"/>
    </w:p>
    <w:p w:rsidR="00B50A36" w:rsidRPr="00613E32" w:rsidRDefault="00B50A36" w:rsidP="00B12674">
      <w:pPr>
        <w:pStyle w:val="ColorfulList-Accent11"/>
        <w:jc w:val="both"/>
        <w:rPr>
          <w:b/>
          <w:bCs/>
          <w:sz w:val="24"/>
          <w:szCs w:val="24"/>
          <w:lang w:val="ro-RO"/>
        </w:rPr>
      </w:pPr>
    </w:p>
    <w:p w:rsidR="00B50A36" w:rsidRDefault="00B50A36" w:rsidP="00B12674">
      <w:pPr>
        <w:pStyle w:val="Heading3"/>
        <w:numPr>
          <w:ilvl w:val="0"/>
          <w:numId w:val="27"/>
        </w:numPr>
        <w:jc w:val="both"/>
        <w:rPr>
          <w:rFonts w:cs="Times New Roman"/>
          <w:lang w:val="ro-RO"/>
        </w:rPr>
      </w:pPr>
      <w:bookmarkStart w:id="99" w:name="_Toc370211892"/>
      <w:r>
        <w:rPr>
          <w:lang w:val="ro-RO"/>
        </w:rPr>
        <w:t>Monitorizarea şi evaluarea implementării Strategiei</w:t>
      </w:r>
      <w:bookmarkEnd w:id="99"/>
    </w:p>
    <w:p w:rsidR="00B50A36" w:rsidRDefault="00B50A36" w:rsidP="00B12674">
      <w:pPr>
        <w:jc w:val="both"/>
        <w:rPr>
          <w:lang w:val="ro-RO"/>
        </w:rPr>
      </w:pPr>
    </w:p>
    <w:p w:rsidR="00B50A36" w:rsidRPr="001540FE" w:rsidRDefault="00B50A36" w:rsidP="00B12674">
      <w:pPr>
        <w:jc w:val="both"/>
        <w:rPr>
          <w:lang w:val="ro-RO"/>
        </w:rPr>
      </w:pPr>
      <w:r w:rsidRPr="001540FE">
        <w:rPr>
          <w:lang w:val="ro-RO"/>
        </w:rPr>
        <w:t xml:space="preserve">Monitorizarea </w:t>
      </w:r>
      <w:r>
        <w:rPr>
          <w:lang w:val="ro-RO"/>
        </w:rPr>
        <w:t>va asigura</w:t>
      </w:r>
      <w:r w:rsidRPr="001540FE">
        <w:rPr>
          <w:lang w:val="ro-RO"/>
        </w:rPr>
        <w:t xml:space="preserve"> observarea, înregistrarea şi analiza continuă a datelor privind implementarea Strategiei, în scopul luării operative a măsurilor necesare pentru corectarea abaterilor de la planul de implementare şi/</w:t>
      </w:r>
      <w:r>
        <w:rPr>
          <w:lang w:val="ro-RO"/>
        </w:rPr>
        <w:t xml:space="preserve"> </w:t>
      </w:r>
      <w:r w:rsidRPr="001540FE">
        <w:rPr>
          <w:lang w:val="ro-RO"/>
        </w:rPr>
        <w:t>sau adaptarea acestuia la fluctuaţiile de resurse sau din mediul de implementare. Aceasta priveşte intrările de resurse (materiale şi umane), procesul de implementare, rezultatele implementării şi mediul de implementare (intern şi extern). Pentru operativitate, monitorizarea necesită un sistem de management al informaţiilor, preferabil electronic, inclusiv un mediu de transmitere, stocare şi prelucrare a informaţiilor performant.</w:t>
      </w:r>
    </w:p>
    <w:p w:rsidR="00B50A36" w:rsidRPr="001540FE" w:rsidRDefault="00B50A36" w:rsidP="00B12674">
      <w:pPr>
        <w:jc w:val="both"/>
        <w:rPr>
          <w:lang w:val="ro-RO"/>
        </w:rPr>
      </w:pPr>
      <w:r w:rsidRPr="001540FE">
        <w:rPr>
          <w:lang w:val="ro-RO"/>
        </w:rPr>
        <w:t>Atât la nivelul Strategiei în ansamblu, cât şi la nivelul planurilor de acţiune şi al programelor/</w:t>
      </w:r>
      <w:r>
        <w:rPr>
          <w:lang w:val="ro-RO"/>
        </w:rPr>
        <w:t xml:space="preserve"> </w:t>
      </w:r>
      <w:r w:rsidRPr="001540FE">
        <w:rPr>
          <w:lang w:val="ro-RO"/>
        </w:rPr>
        <w:t xml:space="preserve">măsurilor aferente </w:t>
      </w:r>
      <w:r>
        <w:rPr>
          <w:lang w:val="ro-RO"/>
        </w:rPr>
        <w:t>se vor stabili</w:t>
      </w:r>
      <w:r w:rsidRPr="001540FE">
        <w:rPr>
          <w:lang w:val="ro-RO"/>
        </w:rPr>
        <w:t xml:space="preserve"> indicatori de monitorizare şi </w:t>
      </w:r>
      <w:r>
        <w:rPr>
          <w:lang w:val="ro-RO"/>
        </w:rPr>
        <w:t xml:space="preserve">se vor </w:t>
      </w:r>
      <w:r w:rsidRPr="001540FE">
        <w:rPr>
          <w:lang w:val="ro-RO"/>
        </w:rPr>
        <w:t>întocmi planuri de monitorizare, cu precizarea pentru fiecare indicator a valorii iniţiale, a valorii realizate şi a valorii ţintă, precum şi a responsabilităţilor de culegere şi raportare.</w:t>
      </w:r>
    </w:p>
    <w:p w:rsidR="00B50A36" w:rsidRPr="001540FE" w:rsidRDefault="00B50A36" w:rsidP="00B12674">
      <w:pPr>
        <w:jc w:val="both"/>
        <w:rPr>
          <w:lang w:val="ro-RO"/>
        </w:rPr>
      </w:pPr>
      <w:r w:rsidRPr="001540FE">
        <w:rPr>
          <w:lang w:val="ro-RO"/>
        </w:rPr>
        <w:t xml:space="preserve">Pentru monitorizarea implementării Strategiei în ansamblul său, având în vedere obligaţia României de a contribui la elaborarea rapoartelor Comisiei Europene privind situaţia tineretului în UE, care se </w:t>
      </w:r>
      <w:r w:rsidRPr="001540FE">
        <w:rPr>
          <w:lang w:val="ro-RO"/>
        </w:rPr>
        <w:lastRenderedPageBreak/>
        <w:t>elaborează d</w:t>
      </w:r>
      <w:r>
        <w:rPr>
          <w:lang w:val="ro-RO"/>
        </w:rPr>
        <w:t xml:space="preserve">in trei în trei ani, se va </w:t>
      </w:r>
      <w:r w:rsidRPr="001540FE">
        <w:rPr>
          <w:lang w:val="ro-RO"/>
        </w:rPr>
        <w:t>folosi setul de indicatori elaborat în anul 2011 de grupul de experţi constituit în acest scop de Comisia Europeană</w:t>
      </w:r>
      <w:r w:rsidRPr="001540FE">
        <w:rPr>
          <w:rStyle w:val="FootnoteReference"/>
          <w:lang w:val="ro-RO"/>
        </w:rPr>
        <w:footnoteReference w:id="68"/>
      </w:r>
      <w:r w:rsidRPr="001540FE">
        <w:rPr>
          <w:lang w:val="ro-RO"/>
        </w:rPr>
        <w:t>.</w:t>
      </w:r>
      <w:r>
        <w:rPr>
          <w:lang w:val="ro-RO"/>
        </w:rPr>
        <w:t xml:space="preserve"> Lista acestor indicatori este prevăzută în anexă.</w:t>
      </w:r>
    </w:p>
    <w:p w:rsidR="00B50A36" w:rsidRPr="001540FE" w:rsidRDefault="00B50A36" w:rsidP="00B12674">
      <w:pPr>
        <w:jc w:val="both"/>
        <w:rPr>
          <w:lang w:val="ro-RO"/>
        </w:rPr>
      </w:pPr>
      <w:r w:rsidRPr="001540FE">
        <w:rPr>
          <w:lang w:val="ro-RO"/>
        </w:rPr>
        <w:t xml:space="preserve">Pentru monitorizarea implementării planurilor de acţiune şi a programelor/măsurilor aferente acestora </w:t>
      </w:r>
      <w:r>
        <w:rPr>
          <w:lang w:val="ro-RO"/>
        </w:rPr>
        <w:t>se vor elabora i</w:t>
      </w:r>
      <w:r w:rsidRPr="001540FE">
        <w:rPr>
          <w:lang w:val="ro-RO"/>
        </w:rPr>
        <w:t>ndicatori specifici.</w:t>
      </w:r>
    </w:p>
    <w:p w:rsidR="00B50A36" w:rsidRPr="001540FE" w:rsidRDefault="00B50A36" w:rsidP="00B12674">
      <w:pPr>
        <w:jc w:val="both"/>
        <w:rPr>
          <w:lang w:val="ro-RO"/>
        </w:rPr>
      </w:pPr>
      <w:r w:rsidRPr="001540FE">
        <w:rPr>
          <w:lang w:val="ro-RO"/>
        </w:rPr>
        <w:t xml:space="preserve">Evaluarea </w:t>
      </w:r>
      <w:r>
        <w:rPr>
          <w:lang w:val="ro-RO"/>
        </w:rPr>
        <w:t xml:space="preserve">se va realiza la nivel de </w:t>
      </w:r>
      <w:r w:rsidRPr="001540FE">
        <w:rPr>
          <w:lang w:val="ro-RO"/>
        </w:rPr>
        <w:t>politici, program</w:t>
      </w:r>
      <w:r>
        <w:rPr>
          <w:lang w:val="ro-RO"/>
        </w:rPr>
        <w:t>e</w:t>
      </w:r>
      <w:r w:rsidRPr="001540FE">
        <w:rPr>
          <w:lang w:val="ro-RO"/>
        </w:rPr>
        <w:t xml:space="preserve"> </w:t>
      </w:r>
      <w:r>
        <w:rPr>
          <w:lang w:val="ro-RO"/>
        </w:rPr>
        <w:t>şi</w:t>
      </w:r>
      <w:r w:rsidRPr="001540FE">
        <w:rPr>
          <w:lang w:val="ro-RO"/>
        </w:rPr>
        <w:t xml:space="preserve"> măsuri, </w:t>
      </w:r>
      <w:r>
        <w:rPr>
          <w:lang w:val="ro-RO"/>
        </w:rPr>
        <w:t xml:space="preserve">la începutul, la </w:t>
      </w:r>
      <w:r w:rsidRPr="001540FE">
        <w:rPr>
          <w:lang w:val="ro-RO"/>
        </w:rPr>
        <w:t>mijlocul</w:t>
      </w:r>
      <w:r>
        <w:rPr>
          <w:lang w:val="ro-RO"/>
        </w:rPr>
        <w:t xml:space="preserve"> şi la sfîrşitul</w:t>
      </w:r>
      <w:r w:rsidRPr="001540FE">
        <w:rPr>
          <w:lang w:val="ro-RO"/>
        </w:rPr>
        <w:t xml:space="preserve"> perioadei de implementare sau chiar la sfârşitul unor etape/faze ale acestora, </w:t>
      </w:r>
      <w:r>
        <w:rPr>
          <w:lang w:val="ro-RO"/>
        </w:rPr>
        <w:t xml:space="preserve">cu scopul de </w:t>
      </w:r>
      <w:r w:rsidRPr="001540FE">
        <w:rPr>
          <w:lang w:val="ro-RO"/>
        </w:rPr>
        <w:t xml:space="preserve">a evidenţia măsura în care ele şi-au atins obiectivele propuse, având în vedere şi resursele efectiv alocate, precum şi schimbările în mediul de intervenţie datorate respectivelor intervenţii. </w:t>
      </w:r>
      <w:r>
        <w:rPr>
          <w:lang w:val="ro-RO"/>
        </w:rPr>
        <w:t xml:space="preserve">De asemenea, aceasta va </w:t>
      </w:r>
      <w:r w:rsidRPr="001540FE">
        <w:rPr>
          <w:lang w:val="ro-RO"/>
        </w:rPr>
        <w:t xml:space="preserve"> urmăr</w:t>
      </w:r>
      <w:r>
        <w:rPr>
          <w:lang w:val="ro-RO"/>
        </w:rPr>
        <w:t>i</w:t>
      </w:r>
      <w:r w:rsidRPr="001540FE">
        <w:rPr>
          <w:lang w:val="ro-RO"/>
        </w:rPr>
        <w:t>, mai ales în cazul politicilor şi programelor complexe, schimbările semnificative şi durabile în mediul de intervenţie şi în contextul social mai larg datorate respectivelor politici sau programe, care nu s</w:t>
      </w:r>
      <w:r>
        <w:rPr>
          <w:lang w:val="ro-RO"/>
        </w:rPr>
        <w:t>-ar fi produs în lipsa acestora (evaluare de impact).</w:t>
      </w:r>
    </w:p>
    <w:p w:rsidR="00B50A36" w:rsidRPr="001540FE" w:rsidRDefault="00B50A36" w:rsidP="00B12674">
      <w:pPr>
        <w:jc w:val="both"/>
        <w:rPr>
          <w:lang w:val="ro-RO"/>
        </w:rPr>
      </w:pPr>
      <w:r w:rsidRPr="001540FE">
        <w:rPr>
          <w:lang w:val="ro-RO"/>
        </w:rPr>
        <w:t>În timp ce evaluarea simplă/</w:t>
      </w:r>
      <w:r>
        <w:rPr>
          <w:lang w:val="ro-RO"/>
        </w:rPr>
        <w:t xml:space="preserve"> </w:t>
      </w:r>
      <w:r w:rsidRPr="001540FE">
        <w:rPr>
          <w:lang w:val="ro-RO"/>
        </w:rPr>
        <w:t>obişnuită ne poate oferi o imagine corectă asupra efectivităţii unui program, proiect sau măsură de intervenţie, precum şi asupra rezultatelor imediate şi uşor perceptibile, evaluarea de impact ne poate oferi imaginea complexă a schimbărilor durabile pe care, de regulă, le urmăresc politicile publice.</w:t>
      </w:r>
    </w:p>
    <w:p w:rsidR="00B50A36" w:rsidRPr="001540FE" w:rsidRDefault="00B50A36" w:rsidP="00B12674">
      <w:pPr>
        <w:jc w:val="both"/>
        <w:rPr>
          <w:lang w:val="ro-RO"/>
        </w:rPr>
      </w:pPr>
      <w:r w:rsidRPr="001540FE">
        <w:rPr>
          <w:lang w:val="ro-RO"/>
        </w:rPr>
        <w:t xml:space="preserve">Ca şi în cazul monitorizării, </w:t>
      </w:r>
      <w:r>
        <w:rPr>
          <w:lang w:val="ro-RO"/>
        </w:rPr>
        <w:t>se vor</w:t>
      </w:r>
      <w:r w:rsidRPr="001540FE">
        <w:rPr>
          <w:lang w:val="ro-RO"/>
        </w:rPr>
        <w:t xml:space="preserve"> elabora planuri de evaluare, la nivelul Strategiei şi la nivelul planurilor de acţiune şi programelor aferente, cu stabilirea clară a întrebărilor generale şi specifice la care trebuie să răspundă evaluarea, a abordării propuse (experimentală, non-experimentală sau quasi-experimentală), a indicatorilor cheie, a surselor de date şi a metodelor de colectare a acestora, a tipului de eşantioane folosite (dacă este cazul) şi a responsbilităţilor de colectare şi de analiză a datelor.</w:t>
      </w:r>
    </w:p>
    <w:p w:rsidR="00DF75C3" w:rsidRDefault="00B50A36" w:rsidP="00B12674">
      <w:pPr>
        <w:jc w:val="both"/>
        <w:rPr>
          <w:lang w:val="ro-RO"/>
        </w:rPr>
      </w:pPr>
      <w:r w:rsidRPr="001540FE">
        <w:rPr>
          <w:lang w:val="ro-RO"/>
        </w:rPr>
        <w:t xml:space="preserve">Fiind o activitate complexă şi care necesită pregătire de specialitate, dar şi pentru asigurarea neutralităţii şi obiectivităţii, evaluarea </w:t>
      </w:r>
      <w:r>
        <w:rPr>
          <w:lang w:val="ro-RO"/>
        </w:rPr>
        <w:t>va fi</w:t>
      </w:r>
      <w:r w:rsidRPr="001540FE">
        <w:rPr>
          <w:lang w:val="ro-RO"/>
        </w:rPr>
        <w:t xml:space="preserve"> realizată de firme/</w:t>
      </w:r>
      <w:r>
        <w:rPr>
          <w:lang w:val="ro-RO"/>
        </w:rPr>
        <w:t xml:space="preserve"> </w:t>
      </w:r>
      <w:r w:rsidRPr="001540FE">
        <w:rPr>
          <w:lang w:val="ro-RO"/>
        </w:rPr>
        <w:t>colective specializate. Aceasta nu înseamnă excluderea entităţilor cu atribuţii în implementare; dimpotrivă, prin colaborarea acestora cu firma/</w:t>
      </w:r>
      <w:r>
        <w:rPr>
          <w:lang w:val="ro-RO"/>
        </w:rPr>
        <w:t xml:space="preserve"> </w:t>
      </w:r>
      <w:r w:rsidRPr="001540FE">
        <w:rPr>
          <w:lang w:val="ro-RO"/>
        </w:rPr>
        <w:t>colectivul de evaluare se poate dobândi o pregătire specifică suplimentară a personalului acestora.</w:t>
      </w:r>
    </w:p>
    <w:p w:rsidR="00B50A36" w:rsidRPr="009A3817" w:rsidRDefault="00B50A36" w:rsidP="00B12674">
      <w:pPr>
        <w:jc w:val="both"/>
        <w:rPr>
          <w:lang w:val="ro-RO"/>
        </w:rPr>
      </w:pPr>
    </w:p>
    <w:p w:rsidR="00B50A36" w:rsidRDefault="00B50A36" w:rsidP="00B12674">
      <w:pPr>
        <w:pStyle w:val="Heading3"/>
        <w:numPr>
          <w:ilvl w:val="0"/>
          <w:numId w:val="27"/>
        </w:numPr>
        <w:jc w:val="both"/>
        <w:rPr>
          <w:rFonts w:cs="Times New Roman"/>
          <w:lang w:val="ro-RO"/>
        </w:rPr>
      </w:pPr>
      <w:bookmarkStart w:id="100" w:name="_Toc370211893"/>
      <w:r>
        <w:rPr>
          <w:lang w:val="ro-RO"/>
        </w:rPr>
        <w:t>Dezvoltarea capacităţii de management şi de implementare a entităţilor implicate în implementarea Strategiei</w:t>
      </w:r>
      <w:bookmarkEnd w:id="100"/>
    </w:p>
    <w:p w:rsidR="00B50A36" w:rsidRDefault="00B50A36" w:rsidP="00B12674">
      <w:pPr>
        <w:jc w:val="both"/>
        <w:rPr>
          <w:lang w:val="ro-RO"/>
        </w:rPr>
      </w:pPr>
    </w:p>
    <w:p w:rsidR="00B50A36" w:rsidRDefault="00B50A36" w:rsidP="00B12674">
      <w:pPr>
        <w:jc w:val="both"/>
        <w:rPr>
          <w:lang w:val="ro-RO"/>
        </w:rPr>
      </w:pPr>
      <w:r>
        <w:rPr>
          <w:lang w:val="ro-RO"/>
        </w:rPr>
        <w:t>Având în vedere faptul că în domeniul politicii de tineret România nu a mai avut o astfel de Strategie, ceea ce este valabil şi pentru unele domenii cheie de intervenţie ale acesteia, este de aşteptat ca personalul M.T.S. şi</w:t>
      </w:r>
      <w:bookmarkStart w:id="101" w:name="_GoBack"/>
      <w:bookmarkEnd w:id="101"/>
      <w:r>
        <w:rPr>
          <w:lang w:val="ro-RO"/>
        </w:rPr>
        <w:t xml:space="preserve"> al altor entităţi cu responsabilităţi în implementarea Strategiei să aibă nevoie de pregătire suplimentară specifică. De aceea, pe măsura elaborării planurilor de acţiune pentru implementarea Strategiei şi a stabilirii personalului responsabil la nivelul entităţilor implicate, M.T.S. va realiza o analiză a nevoilor de pregătire suplimentară ale acestui personal şi va elabora un program de </w:t>
      </w:r>
      <w:r>
        <w:rPr>
          <w:lang w:val="ro-RO"/>
        </w:rPr>
        <w:lastRenderedPageBreak/>
        <w:t>pregătire, cuprinzând mai multe module, adecvate specificului şi nivelului de intervenţie al entităţilor implicate.</w:t>
      </w:r>
    </w:p>
    <w:p w:rsidR="00B50A36" w:rsidRDefault="00B50A36" w:rsidP="00B12674">
      <w:pPr>
        <w:pStyle w:val="Heading2"/>
        <w:jc w:val="both"/>
        <w:rPr>
          <w:rFonts w:cs="Times New Roman"/>
          <w:lang w:val="ro-RO"/>
        </w:rPr>
      </w:pPr>
    </w:p>
    <w:p w:rsidR="00B50A36" w:rsidRPr="003B4108" w:rsidRDefault="00B50A36" w:rsidP="00B12674">
      <w:pPr>
        <w:pStyle w:val="Heading3"/>
        <w:numPr>
          <w:ilvl w:val="0"/>
          <w:numId w:val="27"/>
        </w:numPr>
        <w:jc w:val="both"/>
        <w:rPr>
          <w:rFonts w:cs="Times New Roman"/>
          <w:lang w:val="ro-RO"/>
        </w:rPr>
      </w:pPr>
      <w:bookmarkStart w:id="102" w:name="_Toc370211894"/>
      <w:r>
        <w:rPr>
          <w:lang w:val="ro-RO"/>
        </w:rPr>
        <w:t>Informare publică şi dialog social</w:t>
      </w:r>
      <w:bookmarkEnd w:id="102"/>
    </w:p>
    <w:p w:rsidR="00B50A36" w:rsidRDefault="00B50A36" w:rsidP="00B12674">
      <w:pPr>
        <w:ind w:left="360"/>
        <w:jc w:val="both"/>
        <w:rPr>
          <w:b/>
          <w:bCs/>
          <w:sz w:val="24"/>
          <w:szCs w:val="24"/>
          <w:lang w:val="ro-RO"/>
        </w:rPr>
      </w:pPr>
    </w:p>
    <w:p w:rsidR="00B50A36" w:rsidRDefault="00B50A36" w:rsidP="00B12674">
      <w:pPr>
        <w:jc w:val="both"/>
        <w:rPr>
          <w:lang w:val="ro-RO"/>
        </w:rPr>
      </w:pPr>
      <w:r w:rsidRPr="001629DD">
        <w:rPr>
          <w:lang w:val="ro-RO"/>
        </w:rPr>
        <w:t xml:space="preserve">Aşa </w:t>
      </w:r>
      <w:r>
        <w:rPr>
          <w:lang w:val="ro-RO"/>
        </w:rPr>
        <w:t>cum rezultă din analiza contextului şi din analiza situaţiei tineretului, elaborarea şi implementarea acestei Strategii au loc în condiţii dificile, atât pentru populaţia în ansamblu cât şi pentru tineri, precum şi în contextul unui deficit de încredere în rândul populaţiei şi al structurilor societăţii civile în capacitatea structurilor de putere de a genera şi implementa soluţii viabile pentru problemele cu care se confruntă o mare parte a populaţiei,  inclusiv tinerii.</w:t>
      </w:r>
    </w:p>
    <w:p w:rsidR="00B50A36" w:rsidRDefault="00B50A36" w:rsidP="00B12674">
      <w:pPr>
        <w:jc w:val="both"/>
        <w:rPr>
          <w:lang w:val="ro-RO"/>
        </w:rPr>
      </w:pPr>
      <w:r>
        <w:rPr>
          <w:lang w:val="ro-RO"/>
        </w:rPr>
        <w:t>Succesul unei strategii si al politicilor şi programelor aferente depind în mare măsură de participarea grupurilor ţintă la implementarea acestora. Participarea depinde însă în mod esenţial de motivaţie, care depinde la rândul său atât de semnificaţia subiectivă a obiectivelor propuse pentru beneficiarii ţintă cât şi de aprecierea subiectivă de către aceştia a şanselor ca prin participarea lor ţintele respective să fie atinse. De aceea, o informare largă şi pe înţelesul tuturor, precum şi prin canale adecvate de comunicare, este o condiţie esenţială pentru succesul Strategiei.</w:t>
      </w:r>
    </w:p>
    <w:p w:rsidR="00B50A36" w:rsidRDefault="00B50A36" w:rsidP="00B12674">
      <w:pPr>
        <w:jc w:val="both"/>
        <w:rPr>
          <w:lang w:val="ro-RO"/>
        </w:rPr>
      </w:pPr>
      <w:r>
        <w:rPr>
          <w:lang w:val="ro-RO"/>
        </w:rPr>
        <w:t>Dialogul social, inclusiv prin mijloacele dialogului structurat cu tinerii şi organizaţiile acestora, cu cercetătorii în domeniul tineretului şi cu decidenţii politici, la care Consiliul Uniunii Europene a invitat Statele Membre prin Rezoluţia din 24.11.2005 (OJC 292/24.11.2005), este de asemenea esenţial pentru implicarea tuturor entităţilor interesate în implementarea Strategiei.</w:t>
      </w:r>
    </w:p>
    <w:p w:rsidR="00B50A36" w:rsidRPr="001629DD" w:rsidRDefault="00B50A36" w:rsidP="00B12674">
      <w:pPr>
        <w:jc w:val="both"/>
        <w:rPr>
          <w:lang w:val="ro-RO"/>
        </w:rPr>
      </w:pPr>
      <w:r>
        <w:rPr>
          <w:lang w:val="ro-RO"/>
        </w:rPr>
        <w:t>M.T.S., în parteneriat cu structurile naţionale, regionale, judeţene şi locale, va elabora şi va pune în aplicare, încă de la adoptarea Strategiei, un program de informare publică şi dialog social, prin care să asigure cunoaşterea şi înţelegerea de către tineri, de către autorităţile publice şi de către structurile societăţii civile a căror implicare este necesară pentru implementarea acesteia a obiectivelor specifice şi a direcţiilor de acţiune, a rolurilor entităţilor implicate şi a resurselor alocate, precum şi a rezultatelor obţinute pe parcurs. Dialogul continuu cu tinerii şi cu entităţile implicate ar fi de natură să asigure şi să menţină sentimentul de parte implicată, cu efecte pozitive asupra mobilizării acestora în implementare.</w:t>
      </w:r>
    </w:p>
    <w:p w:rsidR="00B50A36" w:rsidRDefault="00B50A36" w:rsidP="00B12674">
      <w:pPr>
        <w:pStyle w:val="Heading1"/>
        <w:jc w:val="both"/>
        <w:rPr>
          <w:rFonts w:cs="Times New Roman"/>
          <w:lang w:val="ro-RO"/>
        </w:rPr>
      </w:pPr>
      <w:r>
        <w:rPr>
          <w:rFonts w:cs="Times New Roman"/>
          <w:lang w:val="ro-RO"/>
        </w:rPr>
        <w:br w:type="page"/>
      </w:r>
      <w:bookmarkStart w:id="103" w:name="_Toc370211895"/>
      <w:r>
        <w:rPr>
          <w:lang w:val="ro-RO"/>
        </w:rPr>
        <w:lastRenderedPageBreak/>
        <w:t>Anexă</w:t>
      </w:r>
      <w:bookmarkEnd w:id="103"/>
    </w:p>
    <w:p w:rsidR="00B50A36" w:rsidRPr="003B4108" w:rsidRDefault="00B50A36" w:rsidP="00B12674">
      <w:pPr>
        <w:pStyle w:val="Heading2"/>
        <w:jc w:val="both"/>
        <w:rPr>
          <w:rFonts w:cs="Times New Roman"/>
          <w:lang w:val="ro-RO"/>
        </w:rPr>
      </w:pPr>
      <w:bookmarkStart w:id="104" w:name="_Toc370211896"/>
      <w:r w:rsidRPr="003B4108">
        <w:rPr>
          <w:lang w:val="ro-RO"/>
        </w:rPr>
        <w:t>Indicatori pentru urmărirea efectelor pe care politicile în domeniul tineretului le au asupra situaţiei tinerilor</w:t>
      </w:r>
      <w:bookmarkEnd w:id="104"/>
    </w:p>
    <w:p w:rsidR="00B50A36" w:rsidRDefault="00B50A36" w:rsidP="00B12674">
      <w:pPr>
        <w:pStyle w:val="Normal1"/>
        <w:ind w:firstLine="720"/>
        <w:jc w:val="both"/>
        <w:outlineLvl w:val="0"/>
        <w:rPr>
          <w:rFonts w:ascii="Calibri" w:hAnsi="Calibri" w:cs="Calibri"/>
          <w:b/>
          <w:bCs/>
          <w:sz w:val="24"/>
          <w:szCs w:val="24"/>
          <w:u w:val="single"/>
          <w:lang w:val="ro-RO"/>
        </w:rPr>
      </w:pPr>
    </w:p>
    <w:p w:rsidR="00B50A36" w:rsidRPr="00F473EE" w:rsidRDefault="00B50A36" w:rsidP="00B12674">
      <w:pPr>
        <w:pStyle w:val="Heading3"/>
        <w:jc w:val="both"/>
        <w:rPr>
          <w:lang w:val="ro-RO"/>
        </w:rPr>
      </w:pPr>
      <w:bookmarkStart w:id="105" w:name="_Toc370211897"/>
      <w:r w:rsidRPr="00F473EE">
        <w:rPr>
          <w:lang w:val="ro-RO"/>
        </w:rPr>
        <w:t>Indicatori contextuali</w:t>
      </w:r>
      <w:bookmarkEnd w:id="105"/>
    </w:p>
    <w:p w:rsidR="00B50A36" w:rsidRPr="00464588" w:rsidRDefault="00B50A36" w:rsidP="00B12674">
      <w:pPr>
        <w:pStyle w:val="Normal1"/>
        <w:jc w:val="both"/>
        <w:rPr>
          <w:rFonts w:ascii="Calibri" w:hAnsi="Calibri" w:cs="Calibri"/>
          <w:lang w:val="ro-RO"/>
        </w:rPr>
      </w:pPr>
      <w:r w:rsidRPr="00464588">
        <w:rPr>
          <w:rFonts w:ascii="Calibri" w:hAnsi="Calibri" w:cs="Calibri"/>
          <w:lang w:val="ro-RO"/>
        </w:rPr>
        <w:t>-          Populaţia de copii – număr total de persoane în categoria de vârstă 0-14 ani care trăieşte într-un stat membru al UE la 1 ianuarie (sursa: Eurostat – date demografice)</w:t>
      </w:r>
    </w:p>
    <w:p w:rsidR="00B50A36" w:rsidRPr="00464588" w:rsidRDefault="00B50A36" w:rsidP="00B12674">
      <w:pPr>
        <w:pStyle w:val="Normal1"/>
        <w:jc w:val="both"/>
        <w:rPr>
          <w:rFonts w:ascii="Calibri" w:hAnsi="Calibri" w:cs="Calibri"/>
          <w:lang w:val="ro-RO"/>
        </w:rPr>
      </w:pPr>
      <w:r w:rsidRPr="00464588">
        <w:rPr>
          <w:rFonts w:ascii="Calibri" w:hAnsi="Calibri" w:cs="Calibri"/>
          <w:lang w:val="ro-RO"/>
        </w:rPr>
        <w:t>-          Populaţia de tineri - număr total de persoane în categoriile de vârstă 15-19, 20-24 şi 25-29 ani care trăieşte într-un stat membru al UE la 1 ianuarie (sursa: Eurostat – date demografice)</w:t>
      </w:r>
    </w:p>
    <w:p w:rsidR="00B50A36" w:rsidRPr="00464588" w:rsidRDefault="00B50A36" w:rsidP="00B12674">
      <w:pPr>
        <w:pStyle w:val="Normal1"/>
        <w:jc w:val="both"/>
        <w:rPr>
          <w:rFonts w:ascii="Calibri" w:hAnsi="Calibri" w:cs="Calibri"/>
          <w:lang w:val="ro-RO"/>
        </w:rPr>
      </w:pPr>
      <w:r w:rsidRPr="00464588">
        <w:rPr>
          <w:rFonts w:ascii="Calibri" w:hAnsi="Calibri" w:cs="Calibri"/>
          <w:lang w:val="ro-RO"/>
        </w:rPr>
        <w:t>-          Ponderea populaţiei tinere – persoane tinere (în categoriile de vârstă 15-19, 20-24 şi 25-29 ani) ca pondere în totalul populaţiei unui stat membru al UE (sursa: Eurostat – date demografice)</w:t>
      </w:r>
    </w:p>
    <w:p w:rsidR="00B50A36" w:rsidRPr="00464588" w:rsidRDefault="00B50A36" w:rsidP="00B12674">
      <w:pPr>
        <w:pStyle w:val="Normal1"/>
        <w:jc w:val="both"/>
        <w:rPr>
          <w:rFonts w:ascii="Calibri" w:hAnsi="Calibri" w:cs="Calibri"/>
          <w:lang w:val="ro-RO"/>
        </w:rPr>
      </w:pPr>
      <w:r w:rsidRPr="00464588">
        <w:rPr>
          <w:rFonts w:ascii="Calibri" w:hAnsi="Calibri" w:cs="Calibri"/>
          <w:lang w:val="ro-RO"/>
        </w:rPr>
        <w:t>-          Vîrsta medie la care tinerii părăsesc casa (gospodăria) părintească – vârsta medie la care tinerii părăsesc casa părintească (sursa: Eurostat – date demografice, EU LFS)</w:t>
      </w:r>
    </w:p>
    <w:p w:rsidR="00B50A36" w:rsidRPr="00464588" w:rsidRDefault="00B50A36" w:rsidP="00B12674">
      <w:pPr>
        <w:pStyle w:val="Normal1"/>
        <w:jc w:val="both"/>
        <w:rPr>
          <w:rFonts w:ascii="Calibri" w:hAnsi="Calibri" w:cs="Calibri"/>
          <w:b/>
          <w:bCs/>
          <w:u w:val="single"/>
          <w:lang w:val="ro-RO"/>
        </w:rPr>
      </w:pPr>
    </w:p>
    <w:p w:rsidR="00B50A36" w:rsidRPr="00464588" w:rsidRDefault="00B50A36" w:rsidP="00B12674">
      <w:pPr>
        <w:pStyle w:val="Heading3"/>
        <w:jc w:val="both"/>
        <w:rPr>
          <w:rFonts w:ascii="Calibri" w:hAnsi="Calibri" w:cs="Calibri"/>
          <w:lang w:val="ro-RO"/>
        </w:rPr>
      </w:pPr>
      <w:bookmarkStart w:id="106" w:name="_Toc370211898"/>
      <w:r w:rsidRPr="00464588">
        <w:rPr>
          <w:rFonts w:ascii="Calibri" w:hAnsi="Calibri" w:cs="Calibri"/>
          <w:lang w:val="ro-RO"/>
        </w:rPr>
        <w:t>Educaţie şi training</w:t>
      </w:r>
      <w:bookmarkEnd w:id="106"/>
    </w:p>
    <w:p w:rsidR="00B50A36" w:rsidRPr="00464588" w:rsidRDefault="00B50A36" w:rsidP="00B12674">
      <w:pPr>
        <w:pStyle w:val="Normal1"/>
        <w:jc w:val="both"/>
        <w:rPr>
          <w:rFonts w:ascii="Calibri" w:hAnsi="Calibri" w:cs="Calibri"/>
          <w:lang w:val="ro-RO"/>
        </w:rPr>
      </w:pPr>
      <w:r w:rsidRPr="00464588">
        <w:rPr>
          <w:rFonts w:ascii="Calibri" w:hAnsi="Calibri" w:cs="Calibri"/>
          <w:lang w:val="ro-RO"/>
        </w:rPr>
        <w:t>-          Persoane care părăsesc timpuriu (sistemul de ) educaţie şi training – ponderea populaţiei în vârstă de 18-24 ani care au absolvit cel mult învăţământul secundar inferior şi care nu mai sunt în (sistemul de) educaţie sau training (sursa: Eurostat, EU LFS)</w:t>
      </w:r>
    </w:p>
    <w:p w:rsidR="00B50A36" w:rsidRPr="00464588" w:rsidRDefault="00B50A36" w:rsidP="00B12674">
      <w:pPr>
        <w:pStyle w:val="Normal1"/>
        <w:jc w:val="both"/>
        <w:rPr>
          <w:rFonts w:ascii="Calibri" w:hAnsi="Calibri" w:cs="Calibri"/>
          <w:lang w:val="ro-RO"/>
        </w:rPr>
      </w:pPr>
      <w:r w:rsidRPr="00464588">
        <w:rPr>
          <w:rFonts w:ascii="Calibri" w:hAnsi="Calibri" w:cs="Calibri"/>
          <w:lang w:val="ro-RO"/>
        </w:rPr>
        <w:t>-          Persoane cu rezultate slabe – ponderea persoanelor de 15 ani care obţin scorul 1 sau mai mic (pe o scală de la 1 la 5) la testele PISA - la citire, matematică, ştiinţe – ţinta UE: sub 15% până în 2020 (sursa: OECD – PISA)</w:t>
      </w:r>
    </w:p>
    <w:p w:rsidR="00B50A36" w:rsidRPr="00464588" w:rsidRDefault="00B50A36" w:rsidP="00B12674">
      <w:pPr>
        <w:pStyle w:val="Normal1"/>
        <w:jc w:val="both"/>
        <w:rPr>
          <w:rFonts w:ascii="Calibri" w:hAnsi="Calibri" w:cs="Calibri"/>
          <w:lang w:val="ro-RO"/>
        </w:rPr>
      </w:pPr>
      <w:r w:rsidRPr="00464588">
        <w:rPr>
          <w:rFonts w:ascii="Calibri" w:hAnsi="Calibri" w:cs="Calibri"/>
          <w:lang w:val="ro-RO"/>
        </w:rPr>
        <w:t xml:space="preserve">-     </w:t>
      </w:r>
      <w:r>
        <w:rPr>
          <w:rFonts w:ascii="Calibri" w:hAnsi="Calibri" w:cs="Calibri"/>
          <w:lang w:val="ro-RO"/>
        </w:rPr>
        <w:tab/>
      </w:r>
      <w:r w:rsidRPr="00464588">
        <w:rPr>
          <w:rFonts w:ascii="Calibri" w:hAnsi="Calibri" w:cs="Calibri"/>
          <w:lang w:val="ro-RO"/>
        </w:rPr>
        <w:t>Participarea în învăţământul terţiar – ponderea populaţiei de 30-34 ani care a absolvit învăţământul terţiar – ţinta UE: cel puţin 40% până în 2020 (sursa: Eurostat, EU LFS)</w:t>
      </w:r>
    </w:p>
    <w:p w:rsidR="00B50A36" w:rsidRPr="00464588" w:rsidRDefault="00B50A36" w:rsidP="00B12674">
      <w:pPr>
        <w:pStyle w:val="Normal1"/>
        <w:jc w:val="both"/>
        <w:rPr>
          <w:rFonts w:ascii="Calibri" w:hAnsi="Calibri" w:cs="Calibri"/>
          <w:lang w:val="ro-RO"/>
        </w:rPr>
      </w:pPr>
      <w:r w:rsidRPr="00464588">
        <w:rPr>
          <w:rFonts w:ascii="Calibri" w:hAnsi="Calibri" w:cs="Calibri"/>
          <w:lang w:val="ro-RO"/>
        </w:rPr>
        <w:t>-          Tineri (20-24 ani) care au absolvit cel puţin învăţământul secundar superior – ponderea populaţiei în vârstă de 20-24 ani care a absolvit cel puţin învăţământul secundar superior (nivel ISCED 3c lung) (sursa: Eurostat, EU LFS)</w:t>
      </w:r>
    </w:p>
    <w:p w:rsidR="00B50A36" w:rsidRPr="00464588" w:rsidRDefault="00B50A36" w:rsidP="00B12674">
      <w:pPr>
        <w:pStyle w:val="Normal1"/>
        <w:ind w:firstLine="720"/>
        <w:jc w:val="both"/>
        <w:rPr>
          <w:rFonts w:ascii="Calibri" w:hAnsi="Calibri" w:cs="Calibri"/>
          <w:b/>
          <w:bCs/>
          <w:u w:val="single"/>
          <w:lang w:val="ro-RO"/>
        </w:rPr>
      </w:pPr>
    </w:p>
    <w:p w:rsidR="00B50A36" w:rsidRPr="00F473EE" w:rsidRDefault="00B50A36" w:rsidP="00B12674">
      <w:pPr>
        <w:pStyle w:val="Heading3"/>
        <w:jc w:val="both"/>
        <w:rPr>
          <w:rFonts w:cs="Times New Roman"/>
          <w:lang w:val="ro-RO"/>
        </w:rPr>
      </w:pPr>
      <w:bookmarkStart w:id="107" w:name="_Toc370211899"/>
      <w:r w:rsidRPr="00D67772">
        <w:rPr>
          <w:lang w:val="ro-RO"/>
        </w:rPr>
        <w:t>Ocupare şi antreprenoriat</w:t>
      </w:r>
      <w:bookmarkEnd w:id="107"/>
    </w:p>
    <w:p w:rsidR="00B50A36" w:rsidRPr="00464588" w:rsidRDefault="00B50A36" w:rsidP="00B12674">
      <w:pPr>
        <w:pStyle w:val="Normal1"/>
        <w:jc w:val="both"/>
        <w:rPr>
          <w:rFonts w:ascii="Calibri" w:hAnsi="Calibri" w:cs="Calibri"/>
          <w:lang w:val="ro-RO"/>
        </w:rPr>
      </w:pPr>
      <w:r w:rsidRPr="00464588">
        <w:rPr>
          <w:rFonts w:ascii="Calibri" w:hAnsi="Calibri" w:cs="Calibri"/>
          <w:lang w:val="ro-RO"/>
        </w:rPr>
        <w:t xml:space="preserve">-          </w:t>
      </w:r>
      <w:r w:rsidRPr="00464588">
        <w:rPr>
          <w:rFonts w:ascii="Calibri" w:hAnsi="Calibri" w:cs="Calibri"/>
          <w:lang w:val="ro-RO"/>
        </w:rPr>
        <w:tab/>
        <w:t>Şomajul în rândul tinerilor:</w:t>
      </w:r>
    </w:p>
    <w:p w:rsidR="00B50A36" w:rsidRPr="00464588" w:rsidRDefault="00B50A36" w:rsidP="00B12674">
      <w:pPr>
        <w:pStyle w:val="Normal1"/>
        <w:jc w:val="both"/>
        <w:rPr>
          <w:rFonts w:ascii="Calibri" w:hAnsi="Calibri" w:cs="Calibri"/>
          <w:lang w:val="ro-RO"/>
        </w:rPr>
      </w:pPr>
      <w:r w:rsidRPr="00464588">
        <w:rPr>
          <w:rFonts w:ascii="Calibri" w:hAnsi="Calibri" w:cs="Calibri"/>
          <w:lang w:val="ro-RO"/>
        </w:rPr>
        <w:t>o   Rata şomajului în rândul tinerilor – ponderea şomerilor în vârstă de 15-24 ani în populaţia activă (ocupaţi şi şomeri) (sursa: Eurostat, EU LFS)</w:t>
      </w:r>
    </w:p>
    <w:p w:rsidR="00B50A36" w:rsidRPr="00464588" w:rsidRDefault="00B50A36" w:rsidP="00B12674">
      <w:pPr>
        <w:pStyle w:val="Normal1"/>
        <w:jc w:val="both"/>
        <w:rPr>
          <w:rFonts w:ascii="Calibri" w:hAnsi="Calibri" w:cs="Calibri"/>
          <w:lang w:val="ro-RO"/>
        </w:rPr>
      </w:pPr>
      <w:r w:rsidRPr="00464588">
        <w:rPr>
          <w:rFonts w:ascii="Calibri" w:hAnsi="Calibri" w:cs="Calibri"/>
          <w:lang w:val="ro-RO"/>
        </w:rPr>
        <w:lastRenderedPageBreak/>
        <w:t>o   Rata şomajului de lungă durată în rândul tinerilor – ponderea şomerilor în vârstă de 15-24 ani în total şomeri din această categorie de vârstă, care nu au un loc de muncă de 12 luni sau mai mult (sursa: Eurostat, EU LFS)</w:t>
      </w:r>
    </w:p>
    <w:p w:rsidR="00B50A36" w:rsidRPr="00464588" w:rsidRDefault="00B50A36" w:rsidP="00B12674">
      <w:pPr>
        <w:pStyle w:val="Normal1"/>
        <w:jc w:val="both"/>
        <w:rPr>
          <w:rFonts w:ascii="Calibri" w:hAnsi="Calibri" w:cs="Calibri"/>
          <w:lang w:val="ro-RO"/>
        </w:rPr>
      </w:pPr>
      <w:r w:rsidRPr="00464588">
        <w:rPr>
          <w:rFonts w:ascii="Calibri" w:hAnsi="Calibri" w:cs="Calibri"/>
          <w:lang w:val="ro-RO"/>
        </w:rPr>
        <w:t xml:space="preserve">-      </w:t>
      </w:r>
      <w:r w:rsidRPr="00464588">
        <w:rPr>
          <w:rFonts w:ascii="Calibri" w:hAnsi="Calibri" w:cs="Calibri"/>
          <w:lang w:val="ro-RO"/>
        </w:rPr>
        <w:tab/>
        <w:t>Ponderea şomerilor în rândul tineretului – ponderea şomerilor tineri în total populaţie tânără (ocupată, şomeri şi inactivi) în vârstă de 15-24 ani  (sursa: Eurostat, EU LFS)</w:t>
      </w:r>
    </w:p>
    <w:p w:rsidR="00B50A36" w:rsidRPr="00464588" w:rsidRDefault="00B50A36" w:rsidP="00B12674">
      <w:pPr>
        <w:pStyle w:val="Normal1"/>
        <w:jc w:val="both"/>
        <w:rPr>
          <w:rFonts w:ascii="Calibri" w:hAnsi="Calibri" w:cs="Calibri"/>
          <w:lang w:val="ro-RO"/>
        </w:rPr>
      </w:pPr>
      <w:r w:rsidRPr="00464588">
        <w:rPr>
          <w:rFonts w:ascii="Calibri" w:hAnsi="Calibri" w:cs="Calibri"/>
          <w:lang w:val="ro-RO"/>
        </w:rPr>
        <w:t xml:space="preserve">-          </w:t>
      </w:r>
      <w:r w:rsidRPr="00464588">
        <w:rPr>
          <w:rFonts w:ascii="Calibri" w:hAnsi="Calibri" w:cs="Calibri"/>
          <w:lang w:val="ro-RO"/>
        </w:rPr>
        <w:tab/>
        <w:t>Tineri auto-ocupaţi – ponderea auto-ocupaţilor în total populaţie ocupată în vârstă de 20-24 şi 25-29 ani  (sursa: Eurostat, EU LFS)</w:t>
      </w:r>
    </w:p>
    <w:p w:rsidR="00B50A36" w:rsidRPr="00464588" w:rsidRDefault="00B50A36" w:rsidP="00B12674">
      <w:pPr>
        <w:pStyle w:val="Normal1"/>
        <w:jc w:val="both"/>
        <w:rPr>
          <w:rFonts w:ascii="Calibri" w:hAnsi="Calibri" w:cs="Calibri"/>
          <w:lang w:val="ro-RO"/>
        </w:rPr>
      </w:pPr>
      <w:r w:rsidRPr="00464588">
        <w:rPr>
          <w:rFonts w:ascii="Calibri" w:hAnsi="Calibri" w:cs="Calibri"/>
          <w:lang w:val="ro-RO"/>
        </w:rPr>
        <w:t xml:space="preserve">-          </w:t>
      </w:r>
      <w:r w:rsidRPr="00464588">
        <w:rPr>
          <w:rFonts w:ascii="Calibri" w:hAnsi="Calibri" w:cs="Calibri"/>
          <w:lang w:val="ro-RO"/>
        </w:rPr>
        <w:tab/>
        <w:t>Tineri care ar dori să-şi întemeieze propria afacere – ponderea tinerilor în vârstă de 15-30 ani care răspund DA la întrebarea „Ai dori să-ţi întemeiezi propria ta afacere în viitor?” (sursa: Flash Eurobarometer)</w:t>
      </w:r>
    </w:p>
    <w:p w:rsidR="00B50A36" w:rsidRPr="00464588" w:rsidRDefault="00B50A36" w:rsidP="00B12674">
      <w:pPr>
        <w:pStyle w:val="Normal1"/>
        <w:jc w:val="both"/>
        <w:rPr>
          <w:rFonts w:ascii="Calibri" w:hAnsi="Calibri" w:cs="Calibri"/>
          <w:lang w:val="ro-RO"/>
        </w:rPr>
      </w:pPr>
      <w:r w:rsidRPr="00464588">
        <w:rPr>
          <w:rFonts w:ascii="Calibri" w:hAnsi="Calibri" w:cs="Calibri"/>
          <w:lang w:val="ro-RO"/>
        </w:rPr>
        <w:t xml:space="preserve">-          </w:t>
      </w:r>
      <w:r w:rsidRPr="00464588">
        <w:rPr>
          <w:rFonts w:ascii="Calibri" w:hAnsi="Calibri" w:cs="Calibri"/>
          <w:lang w:val="ro-RO"/>
        </w:rPr>
        <w:tab/>
        <w:t>Tineri angajaţi cu contract temporar – ponderea tinerilor angajaţi (20-29 ani) care au un contract de muncă pe durată determinată  (sursa: Eurostat, EU LFS)</w:t>
      </w:r>
    </w:p>
    <w:p w:rsidR="00B50A36" w:rsidRPr="00464588" w:rsidRDefault="00B50A36" w:rsidP="00B12674">
      <w:pPr>
        <w:pStyle w:val="Normal1"/>
        <w:jc w:val="both"/>
        <w:rPr>
          <w:rFonts w:ascii="Calibri" w:hAnsi="Calibri" w:cs="Calibri"/>
          <w:b/>
          <w:bCs/>
          <w:u w:val="single"/>
          <w:lang w:val="ro-RO"/>
        </w:rPr>
      </w:pPr>
    </w:p>
    <w:p w:rsidR="00B50A36" w:rsidRPr="00F473EE" w:rsidRDefault="00B50A36" w:rsidP="00B12674">
      <w:pPr>
        <w:pStyle w:val="Heading3"/>
        <w:jc w:val="both"/>
        <w:rPr>
          <w:rFonts w:cs="Times New Roman"/>
          <w:lang w:val="ro-RO"/>
        </w:rPr>
      </w:pPr>
      <w:bookmarkStart w:id="108" w:name="_Toc370211900"/>
      <w:r w:rsidRPr="00D67772">
        <w:rPr>
          <w:lang w:val="ro-RO"/>
        </w:rPr>
        <w:t>Sănătate şi bunăstare</w:t>
      </w:r>
      <w:bookmarkEnd w:id="108"/>
    </w:p>
    <w:p w:rsidR="00B50A36" w:rsidRPr="00464588" w:rsidRDefault="00B50A36" w:rsidP="00B12674">
      <w:pPr>
        <w:pStyle w:val="Normal1"/>
        <w:jc w:val="both"/>
        <w:rPr>
          <w:rFonts w:ascii="Calibri" w:hAnsi="Calibri" w:cs="Calibri"/>
          <w:lang w:val="ro-RO"/>
        </w:rPr>
      </w:pPr>
      <w:r w:rsidRPr="00464588">
        <w:rPr>
          <w:rFonts w:ascii="Calibri" w:hAnsi="Calibri" w:cs="Calibri"/>
          <w:lang w:val="ro-RO"/>
        </w:rPr>
        <w:t>-          Fumători cu regularitate – ponderea fumătorilor zilnici de ţigarete în populaţia tânără de 15-24 ani  (sursa: Eurostat, EHIS – European Health Interview Surveys)</w:t>
      </w:r>
    </w:p>
    <w:p w:rsidR="00B50A36" w:rsidRPr="00464588" w:rsidRDefault="00B50A36" w:rsidP="00B12674">
      <w:pPr>
        <w:pStyle w:val="Normal1"/>
        <w:jc w:val="both"/>
        <w:rPr>
          <w:rFonts w:ascii="Calibri" w:hAnsi="Calibri" w:cs="Calibri"/>
          <w:lang w:val="ro-RO"/>
        </w:rPr>
      </w:pPr>
      <w:r w:rsidRPr="00464588">
        <w:rPr>
          <w:rFonts w:ascii="Calibri" w:hAnsi="Calibri" w:cs="Calibri"/>
          <w:lang w:val="ro-RO"/>
        </w:rPr>
        <w:t>-          Obezitate – tineri de 18-24 ani cu un indice al masei corporale de 30 sau peste  (sursa: Eurostat, EHIS)</w:t>
      </w:r>
    </w:p>
    <w:p w:rsidR="00B50A36" w:rsidRPr="00464588" w:rsidRDefault="00B50A36" w:rsidP="00B12674">
      <w:pPr>
        <w:pStyle w:val="Normal1"/>
        <w:jc w:val="both"/>
        <w:rPr>
          <w:rFonts w:ascii="Calibri" w:hAnsi="Calibri" w:cs="Calibri"/>
          <w:lang w:val="ro-RO"/>
        </w:rPr>
      </w:pPr>
      <w:r w:rsidRPr="00464588">
        <w:rPr>
          <w:rFonts w:ascii="Calibri" w:hAnsi="Calibri" w:cs="Calibri"/>
          <w:lang w:val="ro-RO"/>
        </w:rPr>
        <w:t>-          Consumul de alcool în ultimele 30 zile – ponderea celor din grupul ţintă (elevi care împlinesc vârsta de 16 ani în anul sondajului) care răspund afirmativ la întrebarea dacă au băut vreo băutură alcoolică în ultimele 30 zile  (sursa: date sondaj ESPAD)</w:t>
      </w:r>
    </w:p>
    <w:p w:rsidR="00B50A36" w:rsidRPr="00464588" w:rsidRDefault="00B50A36" w:rsidP="00B12674">
      <w:pPr>
        <w:pStyle w:val="Normal1"/>
        <w:jc w:val="both"/>
        <w:rPr>
          <w:rFonts w:ascii="Calibri" w:hAnsi="Calibri" w:cs="Calibri"/>
          <w:lang w:val="ro-RO"/>
        </w:rPr>
      </w:pPr>
      <w:r w:rsidRPr="00464588">
        <w:rPr>
          <w:rFonts w:ascii="Calibri" w:hAnsi="Calibri" w:cs="Calibri"/>
          <w:lang w:val="ro-RO"/>
        </w:rPr>
        <w:t>-          Decese în rândul tinerilor a căror cauză a fost sinuciderea – numărul de decese având drept cauză sinuciderea la 100.000 locuitori în vârstă de 15-24 ani</w:t>
      </w:r>
    </w:p>
    <w:p w:rsidR="00B50A36" w:rsidRPr="00464588" w:rsidRDefault="00B50A36" w:rsidP="00B12674">
      <w:pPr>
        <w:pStyle w:val="Normal1"/>
        <w:jc w:val="both"/>
        <w:rPr>
          <w:rFonts w:ascii="Calibri" w:hAnsi="Calibri" w:cs="Calibri"/>
          <w:lang w:val="ro-RO"/>
        </w:rPr>
      </w:pPr>
      <w:r w:rsidRPr="00464588">
        <w:rPr>
          <w:rFonts w:ascii="Calibri" w:hAnsi="Calibri" w:cs="Calibri"/>
          <w:lang w:val="ro-RO"/>
        </w:rPr>
        <w:t>-          Suferinţă psihică – tineri (15-24 ani) care au avut suferinţe psihice în decursul ultimelor 4 săptămâni (sursa: Eurostat, EHIS, ECHIM #30(a))</w:t>
      </w:r>
    </w:p>
    <w:p w:rsidR="00B50A36" w:rsidRPr="00464588" w:rsidRDefault="00B50A36" w:rsidP="00B12674">
      <w:pPr>
        <w:pStyle w:val="Normal1"/>
        <w:jc w:val="both"/>
        <w:rPr>
          <w:rFonts w:ascii="Calibri" w:hAnsi="Calibri" w:cs="Calibri"/>
          <w:lang w:val="ro-RO"/>
        </w:rPr>
      </w:pPr>
      <w:r w:rsidRPr="00464588">
        <w:rPr>
          <w:rFonts w:ascii="Calibri" w:hAnsi="Calibri" w:cs="Calibri"/>
          <w:lang w:val="ro-RO"/>
        </w:rPr>
        <w:t>-          Răniri: trafic rutier – cazuri auto-raportate – ponderea indivizilor în vârstă de 15-24 ani raportând că au avut un accident de trafic rutier, care a avut drept consecinţă răni pentru care s-a solicitat tratament medical, în decursul ultimelor 12 luni (sursa: Eurostat, EHIS, ECHIM #30(a))</w:t>
      </w:r>
    </w:p>
    <w:p w:rsidR="00B50A36" w:rsidRPr="00464588" w:rsidRDefault="00B50A36" w:rsidP="00B12674">
      <w:pPr>
        <w:pStyle w:val="Normal1"/>
        <w:jc w:val="both"/>
        <w:rPr>
          <w:rFonts w:ascii="Calibri" w:hAnsi="Calibri" w:cs="Calibri"/>
          <w:lang w:val="ro-RO"/>
        </w:rPr>
      </w:pPr>
    </w:p>
    <w:p w:rsidR="00B50A36" w:rsidRPr="00F473EE" w:rsidRDefault="00B50A36" w:rsidP="00B12674">
      <w:pPr>
        <w:pStyle w:val="Heading3"/>
        <w:jc w:val="both"/>
        <w:rPr>
          <w:rFonts w:cs="Times New Roman"/>
          <w:lang w:val="ro-RO"/>
        </w:rPr>
      </w:pPr>
      <w:bookmarkStart w:id="109" w:name="_Toc370211901"/>
      <w:r w:rsidRPr="00D67772">
        <w:rPr>
          <w:lang w:val="ro-RO"/>
        </w:rPr>
        <w:t>Incluziune socială</w:t>
      </w:r>
      <w:bookmarkEnd w:id="109"/>
    </w:p>
    <w:p w:rsidR="00B50A36" w:rsidRPr="00464588" w:rsidRDefault="00B50A36" w:rsidP="00B12674">
      <w:pPr>
        <w:pStyle w:val="Normal1"/>
        <w:jc w:val="both"/>
        <w:rPr>
          <w:rFonts w:ascii="Calibri" w:hAnsi="Calibri" w:cs="Calibri"/>
          <w:lang w:val="ro-RO"/>
        </w:rPr>
      </w:pPr>
      <w:r w:rsidRPr="00464588">
        <w:rPr>
          <w:rFonts w:ascii="Calibri" w:hAnsi="Calibri" w:cs="Calibri"/>
          <w:lang w:val="ro-RO"/>
        </w:rPr>
        <w:t>-          Rata riscului de sărăcie sau excluziune:</w:t>
      </w:r>
    </w:p>
    <w:p w:rsidR="00B50A36" w:rsidRPr="00464588" w:rsidRDefault="00B50A36" w:rsidP="00B12674">
      <w:pPr>
        <w:pStyle w:val="Normal1"/>
        <w:jc w:val="both"/>
        <w:rPr>
          <w:rFonts w:ascii="Calibri" w:hAnsi="Calibri" w:cs="Calibri"/>
          <w:lang w:val="ro-RO"/>
        </w:rPr>
      </w:pPr>
      <w:r w:rsidRPr="00464588">
        <w:rPr>
          <w:rFonts w:ascii="Calibri" w:hAnsi="Calibri" w:cs="Calibri"/>
          <w:lang w:val="ro-RO"/>
        </w:rPr>
        <w:lastRenderedPageBreak/>
        <w:t>o   La copii – ponderea copiilor (sub 18 ani) care se confruntă cu riscul sărăciei şi/sau cu privaţiuni materiale severe şi/sau care trăiesc într-o gospodărie cu intensitatea muncii foarte scăzută  (sursa: Eurostat, SILC)</w:t>
      </w:r>
    </w:p>
    <w:p w:rsidR="00B50A36" w:rsidRPr="00464588" w:rsidRDefault="00B50A36" w:rsidP="00B12674">
      <w:pPr>
        <w:pStyle w:val="Normal1"/>
        <w:jc w:val="both"/>
        <w:rPr>
          <w:rFonts w:ascii="Calibri" w:hAnsi="Calibri" w:cs="Calibri"/>
          <w:lang w:val="ro-RO"/>
        </w:rPr>
      </w:pPr>
      <w:r w:rsidRPr="00464588">
        <w:rPr>
          <w:rFonts w:ascii="Calibri" w:hAnsi="Calibri" w:cs="Calibri"/>
          <w:lang w:val="ro-RO"/>
        </w:rPr>
        <w:t>o   La tineri - ponderea tinerilor (18-24 ani) care se confruntă cu riscul sărăciei şi/sau cu privţiuni materiale severe şi/sau care trăiesc într-o gospodărie cu intensitatea muncii foarte scăzută  (sursa: Eurostat, SILC)</w:t>
      </w:r>
    </w:p>
    <w:p w:rsidR="00B50A36" w:rsidRPr="00464588" w:rsidRDefault="00B50A36" w:rsidP="00B12674">
      <w:pPr>
        <w:pStyle w:val="Normal1"/>
        <w:jc w:val="both"/>
        <w:rPr>
          <w:rFonts w:ascii="Calibri" w:hAnsi="Calibri" w:cs="Calibri"/>
          <w:lang w:val="ro-RO"/>
        </w:rPr>
      </w:pPr>
      <w:r w:rsidRPr="00464588">
        <w:rPr>
          <w:rFonts w:ascii="Calibri" w:hAnsi="Calibri" w:cs="Calibri"/>
          <w:lang w:val="ro-RO"/>
        </w:rPr>
        <w:t>o   Decalajul dintre copii (sub 18 ani) şi total populaţie – decalajul dintre copii şi total populaţie (în puncte procentuale) în ce priveşte confruntarea cu riscul sărăciei şi/sau cu privţiuni materiale severe şi/sau care trăiesc într-o gospodărie cu intensitatea muncii foarte scăzută  (sursa: Eurostat, SILC)</w:t>
      </w:r>
    </w:p>
    <w:p w:rsidR="00B50A36" w:rsidRPr="00464588" w:rsidRDefault="00B50A36" w:rsidP="00B12674">
      <w:pPr>
        <w:pStyle w:val="Normal1"/>
        <w:jc w:val="both"/>
        <w:rPr>
          <w:rFonts w:ascii="Calibri" w:hAnsi="Calibri" w:cs="Calibri"/>
          <w:lang w:val="ro-RO"/>
        </w:rPr>
      </w:pPr>
      <w:r w:rsidRPr="00464588">
        <w:rPr>
          <w:rFonts w:ascii="Calibri" w:hAnsi="Calibri" w:cs="Calibri"/>
          <w:lang w:val="ro-RO"/>
        </w:rPr>
        <w:t>o   Decalajul dintre tineri (18-24 ani) şi total populaţie – decalajul dintre tineri şi total populaţie (în puncte procentuale) în ce priveşte confruntarea cu riscul sărăciei şi/sau cu privţiuni materiale severe şi/sau care trăiesc într-o gospodărie cu intensitatea muncii foarte scăzută  (sursa: Eurostat, SILC)</w:t>
      </w:r>
    </w:p>
    <w:p w:rsidR="00B50A36" w:rsidRPr="00464588" w:rsidRDefault="00B50A36" w:rsidP="00B12674">
      <w:pPr>
        <w:pStyle w:val="Normal1"/>
        <w:jc w:val="both"/>
        <w:rPr>
          <w:rFonts w:ascii="Calibri" w:hAnsi="Calibri" w:cs="Calibri"/>
          <w:lang w:val="ro-RO"/>
        </w:rPr>
      </w:pPr>
      <w:r w:rsidRPr="00464588">
        <w:rPr>
          <w:rFonts w:ascii="Calibri" w:hAnsi="Calibri" w:cs="Calibri"/>
          <w:lang w:val="ro-RO"/>
        </w:rPr>
        <w:t>-          Rata riscului de sărăcie:</w:t>
      </w:r>
    </w:p>
    <w:p w:rsidR="00B50A36" w:rsidRPr="00464588" w:rsidRDefault="00B50A36" w:rsidP="00B12674">
      <w:pPr>
        <w:pStyle w:val="Normal1"/>
        <w:jc w:val="both"/>
        <w:rPr>
          <w:rFonts w:ascii="Calibri" w:hAnsi="Calibri" w:cs="Calibri"/>
          <w:lang w:val="ro-RO"/>
        </w:rPr>
      </w:pPr>
      <w:r w:rsidRPr="00464588">
        <w:rPr>
          <w:rFonts w:ascii="Calibri" w:hAnsi="Calibri" w:cs="Calibri"/>
          <w:lang w:val="ro-RO"/>
        </w:rPr>
        <w:t>o   Pentru copii (sub 18 ani) – ponderea copiilor (sub 18 ani) care trăiesc în familii cu un venit disponibil echivalat sub 60% din mediana venitului disponibil echivalat la nivel naţional (după transferurile sociale) (sursa: Eurostat, SILC)</w:t>
      </w:r>
    </w:p>
    <w:p w:rsidR="00B50A36" w:rsidRPr="00464588" w:rsidRDefault="00B50A36" w:rsidP="00B12674">
      <w:pPr>
        <w:pStyle w:val="Normal1"/>
        <w:jc w:val="both"/>
        <w:rPr>
          <w:rFonts w:ascii="Calibri" w:hAnsi="Calibri" w:cs="Calibri"/>
          <w:lang w:val="ro-RO"/>
        </w:rPr>
      </w:pPr>
      <w:r w:rsidRPr="00464588">
        <w:rPr>
          <w:rFonts w:ascii="Calibri" w:hAnsi="Calibri" w:cs="Calibri"/>
          <w:lang w:val="ro-RO"/>
        </w:rPr>
        <w:t>o    Decalajul dintre copii (sub 18 ani) şi total populaţie – decalajul dintre copii şi total populaţie (în puncte procentuale) în ce priveşte trăirea în familii cu un venit disponibil echivalat sub 60% din mediana venitului disponibil echivalat la nivel naţional (după transferurile sociale)  (sursa: Eurostat, SILC)</w:t>
      </w:r>
    </w:p>
    <w:p w:rsidR="00B50A36" w:rsidRPr="00464588" w:rsidRDefault="00B50A36" w:rsidP="00B12674">
      <w:pPr>
        <w:pStyle w:val="Normal1"/>
        <w:jc w:val="both"/>
        <w:rPr>
          <w:rFonts w:ascii="Calibri" w:hAnsi="Calibri" w:cs="Calibri"/>
          <w:lang w:val="ro-RO"/>
        </w:rPr>
      </w:pPr>
      <w:r w:rsidRPr="00464588">
        <w:rPr>
          <w:rFonts w:ascii="Calibri" w:hAnsi="Calibri" w:cs="Calibri"/>
          <w:lang w:val="ro-RO"/>
        </w:rPr>
        <w:t>-          Rata deprivării materiale severe:</w:t>
      </w:r>
    </w:p>
    <w:p w:rsidR="00B50A36" w:rsidRPr="00464588" w:rsidRDefault="00B50A36" w:rsidP="00B12674">
      <w:pPr>
        <w:pStyle w:val="Normal1"/>
        <w:jc w:val="both"/>
        <w:rPr>
          <w:rFonts w:ascii="Calibri" w:hAnsi="Calibri" w:cs="Calibri"/>
          <w:lang w:val="ro-RO"/>
        </w:rPr>
      </w:pPr>
      <w:r w:rsidRPr="00464588">
        <w:rPr>
          <w:rFonts w:ascii="Calibri" w:hAnsi="Calibri" w:cs="Calibri"/>
          <w:lang w:val="ro-RO"/>
        </w:rPr>
        <w:t>o   Pentru copii (sub 18 ani) – ponderea copiilor care nu îşi pot permite cel puţin patru din următorii nouă itemi: 1) să-şi plătească chiria, ipoteca sau facturile de utilităţi; 2) să-şi asigure încălzirea corespunzătoare a locuinţei; 3) să facă faţă unor cheltuieli neaşteptate; 4) să mănânce carne sau proteine cu regularitate; 5) să plece în concediu; sau nu-şi permit să cumpere: 6) un televizor; 7) un frigider; 8) o maşină; 9) un telefon  (sursa: Eurostat, SILC)</w:t>
      </w:r>
    </w:p>
    <w:p w:rsidR="00B50A36" w:rsidRPr="00464588" w:rsidRDefault="00B50A36" w:rsidP="00B12674">
      <w:pPr>
        <w:pStyle w:val="Normal1"/>
        <w:jc w:val="both"/>
        <w:rPr>
          <w:rFonts w:ascii="Calibri" w:hAnsi="Calibri" w:cs="Calibri"/>
          <w:lang w:val="ro-RO"/>
        </w:rPr>
      </w:pPr>
      <w:r w:rsidRPr="00464588">
        <w:rPr>
          <w:rFonts w:ascii="Calibri" w:hAnsi="Calibri" w:cs="Calibri"/>
          <w:lang w:val="ro-RO"/>
        </w:rPr>
        <w:t>o   Pentru tineri (18-24 ani) – ponderea tinerilor care nu îşi pot permite cel puţin patru din următorii nouă itemi: 1) să-şi plătească chiria, ipoteca sau facturile de utilităţi; 2) s-şi asigure încălzirea corespunzătoare a locuinţei; 3) să facă faţă unor cheltuieli neaşteptate; 4) să mănânce carne sau proteine cu regularitate; 5) să plece în concediu; sau nu-şi permit să cumpere: 6) un televizor; 7) un frigider; 8) o maşină; 9) un telefon  (sursa: Eurostat, SILC)</w:t>
      </w:r>
    </w:p>
    <w:p w:rsidR="00B50A36" w:rsidRPr="00464588" w:rsidRDefault="00B50A36" w:rsidP="00B12674">
      <w:pPr>
        <w:pStyle w:val="Normal1"/>
        <w:jc w:val="both"/>
        <w:rPr>
          <w:rFonts w:ascii="Calibri" w:hAnsi="Calibri" w:cs="Calibri"/>
          <w:lang w:val="ro-RO"/>
        </w:rPr>
      </w:pPr>
      <w:r w:rsidRPr="00464588">
        <w:rPr>
          <w:rFonts w:ascii="Calibri" w:hAnsi="Calibri" w:cs="Calibri"/>
          <w:lang w:val="ro-RO"/>
        </w:rPr>
        <w:t>o   Decalajul dintre copii (sub 18 ani) şi total populaţie în privinţa ratei deprivării materiale severe (sursa: Eurostat, SILC)</w:t>
      </w:r>
    </w:p>
    <w:p w:rsidR="00B50A36" w:rsidRPr="00464588" w:rsidRDefault="00B50A36" w:rsidP="00B12674">
      <w:pPr>
        <w:pStyle w:val="Normal1"/>
        <w:jc w:val="both"/>
        <w:rPr>
          <w:rFonts w:ascii="Calibri" w:hAnsi="Calibri" w:cs="Calibri"/>
          <w:lang w:val="ro-RO"/>
        </w:rPr>
      </w:pPr>
      <w:r w:rsidRPr="00464588">
        <w:rPr>
          <w:rFonts w:ascii="Calibri" w:hAnsi="Calibri" w:cs="Calibri"/>
          <w:lang w:val="ro-RO"/>
        </w:rPr>
        <w:t>o   Decalajul dintre tineri (18-24 ani) şi total populaţie în privinţa ratei deprivării materiale severe (sursa: Eurostat, SILC)</w:t>
      </w:r>
    </w:p>
    <w:p w:rsidR="00B50A36" w:rsidRPr="00464588" w:rsidRDefault="00B50A36" w:rsidP="00B12674">
      <w:pPr>
        <w:pStyle w:val="Normal1"/>
        <w:jc w:val="both"/>
        <w:rPr>
          <w:rFonts w:ascii="Calibri" w:hAnsi="Calibri" w:cs="Calibri"/>
          <w:lang w:val="ro-RO"/>
        </w:rPr>
      </w:pPr>
    </w:p>
    <w:p w:rsidR="00B50A36" w:rsidRPr="00464588" w:rsidRDefault="00B50A36" w:rsidP="00B12674">
      <w:pPr>
        <w:pStyle w:val="Normal1"/>
        <w:jc w:val="both"/>
        <w:rPr>
          <w:rFonts w:ascii="Calibri" w:hAnsi="Calibri" w:cs="Calibri"/>
          <w:lang w:val="ro-RO"/>
        </w:rPr>
      </w:pPr>
      <w:r w:rsidRPr="00464588">
        <w:rPr>
          <w:rFonts w:ascii="Calibri" w:hAnsi="Calibri" w:cs="Calibri"/>
          <w:lang w:val="ro-RO"/>
        </w:rPr>
        <w:t>-          Locuirea în gospodării cu intensitate foarte joasă a muncii:</w:t>
      </w:r>
    </w:p>
    <w:p w:rsidR="00B50A36" w:rsidRPr="00464588" w:rsidRDefault="00B50A36" w:rsidP="00B12674">
      <w:pPr>
        <w:pStyle w:val="Normal1"/>
        <w:jc w:val="both"/>
        <w:rPr>
          <w:rFonts w:ascii="Calibri" w:hAnsi="Calibri" w:cs="Calibri"/>
          <w:lang w:val="ro-RO"/>
        </w:rPr>
      </w:pPr>
      <w:r w:rsidRPr="00464588">
        <w:rPr>
          <w:rFonts w:ascii="Calibri" w:hAnsi="Calibri" w:cs="Calibri"/>
          <w:lang w:val="ro-RO"/>
        </w:rPr>
        <w:t>o   Pentru copii (sub 18 ani) – ponderea copiilor care locuiesc în gospodării în care adulţii au lucrat în ultimul an mai puţin de 20% din potenţialul lor de a munci  (sursa: Eurostat, SILC)</w:t>
      </w:r>
    </w:p>
    <w:p w:rsidR="00B50A36" w:rsidRPr="00464588" w:rsidRDefault="00B50A36" w:rsidP="00B12674">
      <w:pPr>
        <w:pStyle w:val="Normal1"/>
        <w:jc w:val="both"/>
        <w:rPr>
          <w:rFonts w:ascii="Calibri" w:hAnsi="Calibri" w:cs="Calibri"/>
          <w:lang w:val="ro-RO"/>
        </w:rPr>
      </w:pPr>
      <w:r w:rsidRPr="00464588">
        <w:rPr>
          <w:rFonts w:ascii="Calibri" w:hAnsi="Calibri" w:cs="Calibri"/>
          <w:lang w:val="ro-RO"/>
        </w:rPr>
        <w:t>o   Pentru tineri (18-24 ani) – ponderea tinerilor care locuiesc în gospodării în care adulţii au lucrat în ultimul an mai puţin de 20% din potenţialul lor de a munci  (sursa: Eurostat, SILC)</w:t>
      </w:r>
    </w:p>
    <w:p w:rsidR="00B50A36" w:rsidRPr="00464588" w:rsidRDefault="00B50A36" w:rsidP="00B12674">
      <w:pPr>
        <w:pStyle w:val="Normal1"/>
        <w:jc w:val="both"/>
        <w:rPr>
          <w:rFonts w:ascii="Calibri" w:hAnsi="Calibri" w:cs="Calibri"/>
          <w:lang w:val="ro-RO"/>
        </w:rPr>
      </w:pPr>
      <w:r w:rsidRPr="00464588">
        <w:rPr>
          <w:rFonts w:ascii="Calibri" w:hAnsi="Calibri" w:cs="Calibri"/>
          <w:lang w:val="ro-RO"/>
        </w:rPr>
        <w:t>o   Decalajul dintre copii (sub 18 ani) şi total populaţie (0-59 ani) în privinţa locuirii în gospodării în care adulţii au lucrat în ultimul an mai puţin de 20% din potenţialul lor de a munci (sursa: Eurostat, SILC)</w:t>
      </w:r>
    </w:p>
    <w:p w:rsidR="00B50A36" w:rsidRPr="00464588" w:rsidRDefault="00B50A36" w:rsidP="00B12674">
      <w:pPr>
        <w:pStyle w:val="Normal1"/>
        <w:jc w:val="both"/>
        <w:rPr>
          <w:rFonts w:ascii="Calibri" w:hAnsi="Calibri" w:cs="Calibri"/>
          <w:lang w:val="ro-RO"/>
        </w:rPr>
      </w:pPr>
      <w:r w:rsidRPr="00464588">
        <w:rPr>
          <w:rFonts w:ascii="Calibri" w:hAnsi="Calibri" w:cs="Calibri"/>
          <w:lang w:val="ro-RO"/>
        </w:rPr>
        <w:t>o   Decalajul dintre tineri (18-24 ani) şi total populaţie (0-59 ani) în privinţa locuirii în gospodării în care adulţii au lucrat în ultimul an mai puţin de 20% din potenţialul lor de a munci (sursa: Eurostat, SILC)</w:t>
      </w:r>
    </w:p>
    <w:p w:rsidR="00B50A36" w:rsidRPr="00464588" w:rsidRDefault="00B50A36" w:rsidP="00B12674">
      <w:pPr>
        <w:pStyle w:val="Normal1"/>
        <w:jc w:val="both"/>
        <w:rPr>
          <w:rFonts w:ascii="Calibri" w:hAnsi="Calibri" w:cs="Calibri"/>
          <w:lang w:val="ro-RO"/>
        </w:rPr>
      </w:pPr>
    </w:p>
    <w:p w:rsidR="00B50A36" w:rsidRPr="00464588" w:rsidRDefault="00B50A36" w:rsidP="00B12674">
      <w:pPr>
        <w:pStyle w:val="Normal1"/>
        <w:jc w:val="both"/>
        <w:rPr>
          <w:rFonts w:ascii="Calibri" w:hAnsi="Calibri" w:cs="Calibri"/>
          <w:lang w:val="ro-RO"/>
        </w:rPr>
      </w:pPr>
      <w:r w:rsidRPr="00464588">
        <w:rPr>
          <w:rFonts w:ascii="Calibri" w:hAnsi="Calibri" w:cs="Calibri"/>
          <w:lang w:val="ro-RO"/>
        </w:rPr>
        <w:t>-          Nevoia nesatisfăcută auto-raportată de îngrijire medicală:</w:t>
      </w:r>
    </w:p>
    <w:p w:rsidR="00B50A36" w:rsidRPr="00464588" w:rsidRDefault="00B50A36" w:rsidP="00B12674">
      <w:pPr>
        <w:pStyle w:val="Normal1"/>
        <w:jc w:val="both"/>
        <w:rPr>
          <w:rFonts w:ascii="Calibri" w:hAnsi="Calibri" w:cs="Calibri"/>
          <w:lang w:val="ro-RO"/>
        </w:rPr>
      </w:pPr>
      <w:r w:rsidRPr="00464588">
        <w:rPr>
          <w:rFonts w:ascii="Calibri" w:hAnsi="Calibri" w:cs="Calibri"/>
          <w:lang w:val="ro-RO"/>
        </w:rPr>
        <w:t>o   Pentru tineri (18-24 ani) – nevoia nesatisfăcută auto-raportată de îngrijire medicală, din următoarele 3 motive: bariere financiare + distanţe prea mari + timpi de aşteptaare</w:t>
      </w:r>
    </w:p>
    <w:p w:rsidR="00B50A36" w:rsidRPr="00464588" w:rsidRDefault="00B50A36" w:rsidP="00B12674">
      <w:pPr>
        <w:pStyle w:val="Normal1"/>
        <w:jc w:val="both"/>
        <w:rPr>
          <w:rFonts w:ascii="Calibri" w:hAnsi="Calibri" w:cs="Calibri"/>
          <w:lang w:val="ro-RO"/>
        </w:rPr>
      </w:pPr>
      <w:r w:rsidRPr="00464588">
        <w:rPr>
          <w:rFonts w:ascii="Calibri" w:hAnsi="Calibri" w:cs="Calibri"/>
          <w:lang w:val="ro-RO"/>
        </w:rPr>
        <w:t>o   Decalajul dintre tineri (18-24 ani) şi total populaţie privind nevoia nesatisfăcută auto-raportată de îngrijire medicală (sursa: Eurostat, SILC)</w:t>
      </w:r>
    </w:p>
    <w:p w:rsidR="00B50A36" w:rsidRPr="00464588" w:rsidRDefault="00B50A36" w:rsidP="00B12674">
      <w:pPr>
        <w:pStyle w:val="Normal1"/>
        <w:jc w:val="both"/>
        <w:rPr>
          <w:rFonts w:ascii="Calibri" w:hAnsi="Calibri" w:cs="Calibri"/>
          <w:lang w:val="ro-RO"/>
        </w:rPr>
      </w:pPr>
      <w:r w:rsidRPr="00464588">
        <w:rPr>
          <w:rFonts w:ascii="Calibri" w:hAnsi="Calibri" w:cs="Calibri"/>
          <w:lang w:val="ro-RO"/>
        </w:rPr>
        <w:t>-          Tineri care nu sunt nici ocupaţi, nici în educaţie sau training (NEET) – tineri din grupa de vârstă 15-24 ani care nu sunt nici ocupaţi, nici în vreo formă de educaţie sau training (sursa: Eurostat, LFS)</w:t>
      </w:r>
    </w:p>
    <w:p w:rsidR="00B50A36" w:rsidRPr="00464588" w:rsidRDefault="00B50A36" w:rsidP="00B12674">
      <w:pPr>
        <w:pStyle w:val="Normal1"/>
        <w:jc w:val="both"/>
        <w:rPr>
          <w:rFonts w:ascii="Calibri" w:hAnsi="Calibri" w:cs="Calibri"/>
          <w:lang w:val="ro-RO"/>
        </w:rPr>
      </w:pPr>
      <w:r w:rsidRPr="00464588">
        <w:rPr>
          <w:rFonts w:ascii="Calibri" w:hAnsi="Calibri" w:cs="Calibri"/>
          <w:lang w:val="ro-RO"/>
        </w:rPr>
        <w:t xml:space="preserve"> </w:t>
      </w:r>
    </w:p>
    <w:p w:rsidR="00B50A36" w:rsidRPr="00F473EE" w:rsidRDefault="00B50A36" w:rsidP="00B12674">
      <w:pPr>
        <w:pStyle w:val="Heading3"/>
        <w:jc w:val="both"/>
        <w:rPr>
          <w:rFonts w:cs="Times New Roman"/>
          <w:lang w:val="ro-RO"/>
        </w:rPr>
      </w:pPr>
      <w:bookmarkStart w:id="110" w:name="_Toc370211902"/>
      <w:r w:rsidRPr="00D67772">
        <w:rPr>
          <w:lang w:val="ro-RO"/>
        </w:rPr>
        <w:t>Cultură şi creativitate</w:t>
      </w:r>
      <w:bookmarkEnd w:id="110"/>
    </w:p>
    <w:p w:rsidR="00B50A36" w:rsidRPr="00464588" w:rsidRDefault="00B50A36" w:rsidP="00B12674">
      <w:pPr>
        <w:pStyle w:val="Normal1"/>
        <w:jc w:val="both"/>
        <w:rPr>
          <w:rFonts w:ascii="Calibri" w:hAnsi="Calibri" w:cs="Calibri"/>
          <w:lang w:val="ro-RO"/>
        </w:rPr>
      </w:pPr>
      <w:r w:rsidRPr="00D67772">
        <w:rPr>
          <w:rFonts w:ascii="Calibri" w:hAnsi="Calibri" w:cs="Calibri"/>
          <w:b/>
          <w:bCs/>
          <w:sz w:val="24"/>
          <w:szCs w:val="24"/>
          <w:lang w:val="ro-RO"/>
        </w:rPr>
        <w:t xml:space="preserve"> </w:t>
      </w:r>
      <w:r w:rsidRPr="00464588">
        <w:rPr>
          <w:rFonts w:ascii="Calibri" w:hAnsi="Calibri" w:cs="Calibri"/>
          <w:lang w:val="ro-RO"/>
        </w:rPr>
        <w:t>-          Desfăşurarea/participarea la activităţi artistice de amatori – ponderea tinerilor (15-30 ani) care declară că au participat cel puţin o dată în ultimele 12 luni la oricare dintre următoarele activităţi artistice de amatori: cântatul la un instrument muzical; cântatul vocal; actorie; dans; scris poezii; fotografiere; filmare (sursa: DG EAC Flash Eurobarometer on Youth)</w:t>
      </w:r>
    </w:p>
    <w:p w:rsidR="00B50A36" w:rsidRPr="00464588" w:rsidRDefault="00B50A36" w:rsidP="00B12674">
      <w:pPr>
        <w:pStyle w:val="Normal1"/>
        <w:jc w:val="both"/>
        <w:rPr>
          <w:rFonts w:ascii="Calibri" w:hAnsi="Calibri" w:cs="Calibri"/>
          <w:lang w:val="ro-RO"/>
        </w:rPr>
      </w:pPr>
      <w:r w:rsidRPr="00464588">
        <w:rPr>
          <w:rFonts w:ascii="Calibri" w:hAnsi="Calibri" w:cs="Calibri"/>
          <w:lang w:val="ro-RO"/>
        </w:rPr>
        <w:t>-          Participare la activităţi culturale - ponderea tinerilor (15-30 ani) care declară că au participat în ultimele 12 luni la oricare dintre următoarele activităţi culturale: vizite la monumente istorice (palate, castele, biserici, grădini etc.), vizite la muzee sau galerii de artă, mers la cinema, concert,  teatru, spectacol de dans, balet sau operă (sursa: DG EAC Flash Eurobarometer on Youth)</w:t>
      </w:r>
    </w:p>
    <w:p w:rsidR="00B50A36" w:rsidRPr="00464588" w:rsidRDefault="00B50A36" w:rsidP="00B12674">
      <w:pPr>
        <w:pStyle w:val="Normal1"/>
        <w:jc w:val="both"/>
        <w:rPr>
          <w:rFonts w:ascii="Calibri" w:hAnsi="Calibri" w:cs="Calibri"/>
          <w:lang w:val="ro-RO"/>
        </w:rPr>
      </w:pPr>
      <w:r w:rsidRPr="00464588">
        <w:rPr>
          <w:rFonts w:ascii="Calibri" w:hAnsi="Calibri" w:cs="Calibri"/>
          <w:lang w:val="ro-RO"/>
        </w:rPr>
        <w:t>-          Participarea în cluburi sportive, cluburi de loisir cluburi/asociaţii de tineret sau organizaţii culturale  (sursa: DG EAC Flash Eurobarometer on Youth)</w:t>
      </w:r>
    </w:p>
    <w:p w:rsidR="00B50A36" w:rsidRPr="00464588" w:rsidRDefault="00B50A36" w:rsidP="00B12674">
      <w:pPr>
        <w:pStyle w:val="Normal1"/>
        <w:jc w:val="both"/>
        <w:rPr>
          <w:rFonts w:ascii="Calibri" w:hAnsi="Calibri" w:cs="Calibri"/>
          <w:lang w:val="ro-RO"/>
        </w:rPr>
      </w:pPr>
      <w:r w:rsidRPr="00464588">
        <w:rPr>
          <w:rFonts w:ascii="Calibri" w:hAnsi="Calibri" w:cs="Calibri"/>
          <w:lang w:val="ro-RO"/>
        </w:rPr>
        <w:t xml:space="preserve">-          Învăţarea a cel puţin două limbi străine – ponderea tierilor din învăţământul secundar superior (nivel ISCED 3 programe generale, cu excepţia învăţământului vocaţional sau pre-vocaţional) care învaţă </w:t>
      </w:r>
      <w:r w:rsidRPr="00464588">
        <w:rPr>
          <w:rFonts w:ascii="Calibri" w:hAnsi="Calibri" w:cs="Calibri"/>
          <w:lang w:val="ro-RO"/>
        </w:rPr>
        <w:lastRenderedPageBreak/>
        <w:t>două sau mai multe limbi străine  (sursa: date culese de Eurostat privind învăţarea limbilor străine în şcoli)</w:t>
      </w:r>
    </w:p>
    <w:p w:rsidR="00B50A36" w:rsidRPr="00F473EE" w:rsidRDefault="00B50A36" w:rsidP="00B12674">
      <w:pPr>
        <w:pStyle w:val="Normal1"/>
        <w:jc w:val="both"/>
        <w:rPr>
          <w:rFonts w:ascii="Calibri" w:hAnsi="Calibri" w:cs="Calibri"/>
          <w:lang w:val="ro-RO"/>
        </w:rPr>
      </w:pPr>
      <w:r w:rsidRPr="00464588">
        <w:rPr>
          <w:rFonts w:ascii="Calibri" w:hAnsi="Calibri" w:cs="Calibri"/>
          <w:lang w:val="ro-RO"/>
        </w:rPr>
        <w:t xml:space="preserve"> </w:t>
      </w:r>
    </w:p>
    <w:p w:rsidR="00B50A36" w:rsidRPr="00F473EE" w:rsidRDefault="00B50A36" w:rsidP="00B12674">
      <w:pPr>
        <w:pStyle w:val="Heading3"/>
        <w:jc w:val="both"/>
        <w:rPr>
          <w:rFonts w:cs="Times New Roman"/>
          <w:lang w:val="ro-RO"/>
        </w:rPr>
      </w:pPr>
      <w:bookmarkStart w:id="111" w:name="_Toc370211903"/>
      <w:r w:rsidRPr="00D67772">
        <w:rPr>
          <w:lang w:val="ro-RO"/>
        </w:rPr>
        <w:t>Participarea tinerilor</w:t>
      </w:r>
      <w:bookmarkEnd w:id="111"/>
    </w:p>
    <w:p w:rsidR="00B50A36" w:rsidRPr="00F473EE" w:rsidRDefault="00B50A36" w:rsidP="00B12674">
      <w:pPr>
        <w:pStyle w:val="Normal1"/>
        <w:jc w:val="both"/>
        <w:rPr>
          <w:rFonts w:ascii="Calibri" w:hAnsi="Calibri" w:cs="Calibri"/>
          <w:lang w:val="ro-RO"/>
        </w:rPr>
      </w:pPr>
      <w:r w:rsidRPr="00D67772">
        <w:rPr>
          <w:rFonts w:ascii="Calibri" w:hAnsi="Calibri" w:cs="Calibri"/>
          <w:sz w:val="24"/>
          <w:szCs w:val="24"/>
          <w:lang w:val="ro-RO"/>
        </w:rPr>
        <w:t xml:space="preserve"> </w:t>
      </w:r>
    </w:p>
    <w:p w:rsidR="00B50A36" w:rsidRPr="00464588" w:rsidRDefault="00B50A36" w:rsidP="00B12674">
      <w:pPr>
        <w:pStyle w:val="Normal1"/>
        <w:jc w:val="both"/>
        <w:rPr>
          <w:rFonts w:ascii="Calibri" w:hAnsi="Calibri" w:cs="Calibri"/>
          <w:lang w:val="ro-RO"/>
        </w:rPr>
      </w:pPr>
      <w:r w:rsidRPr="00464588">
        <w:rPr>
          <w:rFonts w:ascii="Calibri" w:hAnsi="Calibri" w:cs="Calibri"/>
          <w:lang w:val="ro-RO"/>
        </w:rPr>
        <w:t>-          Participarea tinerilor în organizaţii politice sau în organizaţii neguvernamentale orientate spre comunitate sau mediu – participarea auto-raportată de tinerii în vârstă de 15-30 ani în activităţi ale unei organizaţii politice sau ale unui partid politic, sau ale unei organizaţii locale ce urmăreşte îmbunătăţirea situaţiei comunităţii sau a mediului local în ultimele 12 luni  (sursa: DG EAC Flash Eurobarometer on Youth)</w:t>
      </w:r>
    </w:p>
    <w:p w:rsidR="00B50A36" w:rsidRPr="00464588" w:rsidRDefault="00B50A36" w:rsidP="00B12674">
      <w:pPr>
        <w:pStyle w:val="Normal1"/>
        <w:jc w:val="both"/>
        <w:rPr>
          <w:rFonts w:ascii="Calibri" w:hAnsi="Calibri" w:cs="Calibri"/>
          <w:lang w:val="ro-RO"/>
        </w:rPr>
      </w:pPr>
      <w:r w:rsidRPr="000E1E4E">
        <w:rPr>
          <w:rFonts w:ascii="Calibri" w:hAnsi="Calibri" w:cs="Calibri"/>
          <w:lang w:val="ro-RO"/>
        </w:rPr>
        <w:t xml:space="preserve">-          Participarea tinerilor la alegeri locale, regionale, naţionale sau euro-parlamentare </w:t>
      </w:r>
      <w:r w:rsidRPr="00464588">
        <w:rPr>
          <w:rFonts w:ascii="Calibri" w:hAnsi="Calibri" w:cs="Calibri"/>
          <w:lang w:val="ro-RO"/>
        </w:rPr>
        <w:t>– ponderea tinerilor în vârstă de 18-30 ani care declară că au participat la la alegeri locale, regionale, naţionale sau euro-parlamentare în ultimii trei ani  (sursa: DG EAC Flash Eurobarometer on Youth)</w:t>
      </w:r>
    </w:p>
    <w:p w:rsidR="00B50A36" w:rsidRPr="00464588" w:rsidRDefault="00B50A36" w:rsidP="00B12674">
      <w:pPr>
        <w:pStyle w:val="Normal1"/>
        <w:jc w:val="both"/>
        <w:rPr>
          <w:rFonts w:ascii="Calibri" w:hAnsi="Calibri" w:cs="Calibri"/>
          <w:lang w:val="ro-RO"/>
        </w:rPr>
      </w:pPr>
      <w:r w:rsidRPr="00464588">
        <w:rPr>
          <w:rFonts w:ascii="Calibri" w:hAnsi="Calibri" w:cs="Calibri"/>
          <w:lang w:val="ro-RO"/>
        </w:rPr>
        <w:t>-          Tineri de 18-30 ani care au fost aleşi în Parlamentul European – numărul membrilor tineri ai Parlamentului European aleşi la ultimele alegeri euro-parlamentare (2009) (sursa: Parlamentul European)</w:t>
      </w:r>
    </w:p>
    <w:p w:rsidR="00B50A36" w:rsidRPr="00464588" w:rsidRDefault="00B50A36" w:rsidP="00B12674">
      <w:pPr>
        <w:pStyle w:val="Normal1"/>
        <w:jc w:val="both"/>
        <w:rPr>
          <w:rFonts w:ascii="Calibri" w:hAnsi="Calibri" w:cs="Calibri"/>
          <w:lang w:val="ro-RO"/>
        </w:rPr>
      </w:pPr>
      <w:r w:rsidRPr="00464588">
        <w:rPr>
          <w:rFonts w:ascii="Calibri" w:hAnsi="Calibri" w:cs="Calibri"/>
          <w:lang w:val="ro-RO"/>
        </w:rPr>
        <w:t>-          Tineri care folosesc Internetul pentru a interacţiona cu autorităţile publice – ponderea tinerilor în vârstă de 16-24 ani care au utilizat Internetul în ultimele 12 luni pentru a interacţiona cu autorităţile publice (de exemplu, au folosit Internetul pentru una sau mai multe dintre următoarele activităţi: obţinerea de informaţii de pe website-urile autorităţilor publice, descărcarea de formulare oficiale, transmiterea de formulare oficiale completate) (sursa: Eurostat – sondaj privind folosirea TIC în gospodării sau de către indivizi)</w:t>
      </w:r>
    </w:p>
    <w:p w:rsidR="00B50A36" w:rsidRPr="00464588" w:rsidRDefault="00B50A36" w:rsidP="00B12674">
      <w:pPr>
        <w:pStyle w:val="Normal1"/>
        <w:jc w:val="both"/>
        <w:rPr>
          <w:rFonts w:ascii="Calibri" w:hAnsi="Calibri" w:cs="Calibri"/>
          <w:lang w:val="ro-RO"/>
        </w:rPr>
      </w:pPr>
      <w:r w:rsidRPr="00464588">
        <w:rPr>
          <w:rFonts w:ascii="Calibri" w:hAnsi="Calibri" w:cs="Calibri"/>
          <w:lang w:val="ro-RO"/>
        </w:rPr>
        <w:t>-          Tineri care folosesc Internetul pentru a accesa sau a posta opinii pe website-uri (e.g. bloguri, reţele de socializare etc.), pentru a discuta chestiuni civice şi politice (în ultimele 3 luni) – ponderea tinerilor în vârstă de 16-24 ani care declară că au utilizat Internetul pentru a accesa sau a posta opinii pe website-uri (e.g. bloguri, reţele de socializare etc.), pentru a discuta chestiuni civice şi politice (în ultimele 12 luni)(sursa: Eurostat – sondaj privind folosirea TIC în gospodării sau de către indivizi)</w:t>
      </w:r>
    </w:p>
    <w:p w:rsidR="00B50A36" w:rsidRPr="00464588" w:rsidRDefault="00B50A36" w:rsidP="00B12674">
      <w:pPr>
        <w:pStyle w:val="Normal1"/>
        <w:jc w:val="both"/>
        <w:rPr>
          <w:rFonts w:ascii="Calibri" w:hAnsi="Calibri" w:cs="Calibri"/>
          <w:lang w:val="ro-RO"/>
        </w:rPr>
      </w:pPr>
      <w:r w:rsidRPr="00464588">
        <w:rPr>
          <w:rFonts w:ascii="Calibri" w:hAnsi="Calibri" w:cs="Calibri"/>
          <w:lang w:val="ro-RO"/>
        </w:rPr>
        <w:t xml:space="preserve"> </w:t>
      </w:r>
    </w:p>
    <w:p w:rsidR="00B50A36" w:rsidRPr="00F473EE" w:rsidRDefault="00B50A36" w:rsidP="00B12674">
      <w:pPr>
        <w:pStyle w:val="Heading3"/>
        <w:jc w:val="both"/>
        <w:rPr>
          <w:rFonts w:cs="Times New Roman"/>
          <w:lang w:val="ro-RO"/>
        </w:rPr>
      </w:pPr>
      <w:bookmarkStart w:id="112" w:name="_Toc370211904"/>
      <w:r w:rsidRPr="00D67772">
        <w:rPr>
          <w:lang w:val="ro-RO"/>
        </w:rPr>
        <w:t>Activităţi volunt</w:t>
      </w:r>
      <w:r>
        <w:rPr>
          <w:lang w:val="ro-RO"/>
        </w:rPr>
        <w:t>a</w:t>
      </w:r>
      <w:r w:rsidRPr="00D67772">
        <w:rPr>
          <w:lang w:val="ro-RO"/>
        </w:rPr>
        <w:t>re</w:t>
      </w:r>
      <w:bookmarkEnd w:id="112"/>
    </w:p>
    <w:p w:rsidR="00B50A36" w:rsidRPr="00464588" w:rsidRDefault="00B50A36" w:rsidP="00B12674">
      <w:pPr>
        <w:pStyle w:val="Normal1"/>
        <w:jc w:val="both"/>
        <w:rPr>
          <w:rFonts w:ascii="Calibri" w:hAnsi="Calibri" w:cs="Calibri"/>
          <w:lang w:val="ro-RO"/>
        </w:rPr>
      </w:pPr>
      <w:r w:rsidRPr="00D67772">
        <w:rPr>
          <w:rFonts w:ascii="Calibri" w:hAnsi="Calibri" w:cs="Calibri"/>
          <w:sz w:val="24"/>
          <w:szCs w:val="24"/>
          <w:lang w:val="ro-RO"/>
        </w:rPr>
        <w:t xml:space="preserve"> </w:t>
      </w:r>
      <w:r w:rsidRPr="00464588">
        <w:rPr>
          <w:rFonts w:ascii="Calibri" w:hAnsi="Calibri" w:cs="Calibri"/>
          <w:lang w:val="ro-RO"/>
        </w:rPr>
        <w:t>-          Implicarea tinerilor în activităţi voluntare – implicarea auto-raportată în activităţi de volunatriat organizate, în ultimele 12 luni (15-30 ani) (sursa: DG EAC Flash Eurobarometer on Youth)</w:t>
      </w:r>
    </w:p>
    <w:p w:rsidR="00B50A36" w:rsidRPr="00464588" w:rsidRDefault="00B50A36" w:rsidP="00B12674">
      <w:pPr>
        <w:pStyle w:val="Normal1"/>
        <w:jc w:val="both"/>
        <w:rPr>
          <w:rFonts w:ascii="Calibri" w:hAnsi="Calibri" w:cs="Calibri"/>
          <w:lang w:val="ro-RO"/>
        </w:rPr>
      </w:pPr>
      <w:r w:rsidRPr="00464588">
        <w:rPr>
          <w:rFonts w:ascii="Calibri" w:hAnsi="Calibri" w:cs="Calibri"/>
          <w:lang w:val="ro-RO"/>
        </w:rPr>
        <w:t>-          Ponderea tinerilor care au avut o contribuţie voluntară în propria comunitate – ponderea tinerilor de 15-30 ani care declară că au luat parte la orice activitate voluntară menită a schimba ceva în propria lor comunitate în ultimele 12 luni  (sursa: DG EAC Flash Eurobarometer on Youth)</w:t>
      </w:r>
    </w:p>
    <w:p w:rsidR="00B50A36" w:rsidRPr="00464588" w:rsidRDefault="00B50A36" w:rsidP="00B12674">
      <w:pPr>
        <w:pStyle w:val="Normal1"/>
        <w:jc w:val="both"/>
        <w:rPr>
          <w:rFonts w:ascii="Calibri" w:hAnsi="Calibri" w:cs="Calibri"/>
          <w:lang w:val="ro-RO"/>
        </w:rPr>
      </w:pPr>
      <w:r w:rsidRPr="00464588">
        <w:rPr>
          <w:rFonts w:ascii="Calibri" w:hAnsi="Calibri" w:cs="Calibri"/>
          <w:lang w:val="ro-RO"/>
        </w:rPr>
        <w:lastRenderedPageBreak/>
        <w:t>-          Ponderea tinerilor care au fost în străinătate în scop de voluntariat - ponderea tinerilor de 15-30 ani care declară că au fost în străinătate în scop de voluntariat  (sursa: DG EAC Flash Eurobarometer on Youth)</w:t>
      </w:r>
    </w:p>
    <w:p w:rsidR="00B50A36" w:rsidRPr="00464588" w:rsidRDefault="00B50A36" w:rsidP="00B12674">
      <w:pPr>
        <w:pStyle w:val="Normal1"/>
        <w:jc w:val="both"/>
        <w:rPr>
          <w:rFonts w:ascii="Calibri" w:hAnsi="Calibri" w:cs="Calibri"/>
          <w:lang w:val="ro-RO"/>
        </w:rPr>
      </w:pPr>
      <w:r w:rsidRPr="00464588">
        <w:rPr>
          <w:rFonts w:ascii="Calibri" w:hAnsi="Calibri" w:cs="Calibri"/>
          <w:lang w:val="ro-RO"/>
        </w:rPr>
        <w:t>-          Recunoaşterea formală a participării la activităţi de voluntariat – ponderea tinerilor de 15-30 ani care declară că au luat parte la acţiuni de voluntariat şi au primit un certificat, o diplomă sau alt fel de recunoaştere formală pentru participarea lor   (sursa: DG EAC Flash Eurobarometer on Youth)</w:t>
      </w:r>
    </w:p>
    <w:p w:rsidR="00B50A36" w:rsidRPr="00464588" w:rsidRDefault="00B50A36" w:rsidP="00B12674">
      <w:pPr>
        <w:pStyle w:val="Normal1"/>
        <w:jc w:val="both"/>
        <w:rPr>
          <w:rFonts w:ascii="Calibri" w:hAnsi="Calibri" w:cs="Calibri"/>
          <w:lang w:val="ro-RO"/>
        </w:rPr>
      </w:pPr>
      <w:r w:rsidRPr="00464588">
        <w:rPr>
          <w:rFonts w:ascii="Calibri" w:hAnsi="Calibri" w:cs="Calibri"/>
          <w:lang w:val="ro-RO"/>
        </w:rPr>
        <w:t xml:space="preserve"> </w:t>
      </w:r>
    </w:p>
    <w:p w:rsidR="00B50A36" w:rsidRPr="00F473EE" w:rsidRDefault="00B50A36" w:rsidP="00B12674">
      <w:pPr>
        <w:pStyle w:val="Heading3"/>
        <w:jc w:val="both"/>
        <w:rPr>
          <w:rFonts w:cs="Times New Roman"/>
          <w:lang w:val="ro-RO"/>
        </w:rPr>
      </w:pPr>
      <w:bookmarkStart w:id="113" w:name="_Toc370211905"/>
      <w:r w:rsidRPr="00D67772">
        <w:rPr>
          <w:lang w:val="ro-RO"/>
        </w:rPr>
        <w:t>Tineretul şi lumea</w:t>
      </w:r>
      <w:bookmarkEnd w:id="113"/>
    </w:p>
    <w:p w:rsidR="00B50A36" w:rsidRPr="00464588" w:rsidRDefault="00B50A36" w:rsidP="00B12674">
      <w:pPr>
        <w:pStyle w:val="Normal1"/>
        <w:jc w:val="both"/>
        <w:rPr>
          <w:rFonts w:ascii="Calibri" w:hAnsi="Calibri" w:cs="Calibri"/>
          <w:lang w:val="ro-RO"/>
        </w:rPr>
      </w:pPr>
      <w:r w:rsidRPr="00D67772">
        <w:rPr>
          <w:rFonts w:ascii="Calibri" w:hAnsi="Calibri" w:cs="Calibri"/>
          <w:sz w:val="24"/>
          <w:szCs w:val="24"/>
          <w:lang w:val="ro-RO"/>
        </w:rPr>
        <w:t xml:space="preserve"> </w:t>
      </w:r>
      <w:r w:rsidRPr="00464588">
        <w:rPr>
          <w:rFonts w:ascii="Calibri" w:hAnsi="Calibri" w:cs="Calibri"/>
          <w:lang w:val="ro-RO"/>
        </w:rPr>
        <w:t>-          Participarea tinerilor în organizaţii neguvernamentale active în domenii precum schimbarea climatică globală/încălzirea globală, ajutor pentru dezvolate sau drepturile omului – participarea auto-raportată de tinerii în vârstă de 15-30 ani în activităţi ale unei organizaţii neguvernamentale active în domenii precum schimbarea climatică globală/încălzirea globală, ajutor pentru dezvolate sau drepturile omului, în ultimele 12 luni (sursa: DG EAC Flash Eurobarometer on Youth)</w:t>
      </w:r>
    </w:p>
    <w:p w:rsidR="00B50A36" w:rsidRPr="00464588" w:rsidRDefault="00B50A36" w:rsidP="00B12674">
      <w:pPr>
        <w:pStyle w:val="Normal1"/>
        <w:jc w:val="both"/>
        <w:rPr>
          <w:rFonts w:ascii="Calibri" w:hAnsi="Calibri" w:cs="Calibri"/>
          <w:lang w:val="ro-RO"/>
        </w:rPr>
      </w:pPr>
      <w:r w:rsidRPr="00464588">
        <w:rPr>
          <w:rFonts w:ascii="Calibri" w:hAnsi="Calibri" w:cs="Calibri"/>
          <w:lang w:val="ro-RO"/>
        </w:rPr>
        <w:t>-          Implicarea tinerilor în activităţi sau proiecte, în ultimul an, care au implicat tineri din alte continente – participarea auto-raportată de tinerii în vârstă de 15-30 ani în activităţi sau proiecte, în ultimul an, care au implicat tineri din alte continente  (sursa: DG EAC Flash Eurobarometer on Youth)</w:t>
      </w:r>
    </w:p>
    <w:p w:rsidR="00B50A36" w:rsidRPr="00464588" w:rsidRDefault="00B50A36" w:rsidP="00B12674">
      <w:pPr>
        <w:jc w:val="both"/>
        <w:rPr>
          <w:b/>
          <w:bCs/>
          <w:lang w:val="ro-RO"/>
        </w:rPr>
      </w:pPr>
    </w:p>
    <w:sectPr w:rsidR="00B50A36" w:rsidRPr="00464588" w:rsidSect="00CD156E">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695" w:rsidRDefault="00AF3695" w:rsidP="00645411">
      <w:pPr>
        <w:spacing w:after="0" w:line="240" w:lineRule="auto"/>
      </w:pPr>
      <w:r>
        <w:separator/>
      </w:r>
    </w:p>
  </w:endnote>
  <w:endnote w:type="continuationSeparator" w:id="0">
    <w:p w:rsidR="00AF3695" w:rsidRDefault="00AF3695" w:rsidP="00645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arker Felt">
    <w:altName w:val="Eras Light IT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ED0" w:rsidRDefault="00C76ED0" w:rsidP="0064541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5041">
      <w:rPr>
        <w:rStyle w:val="PageNumber"/>
        <w:noProof/>
      </w:rPr>
      <w:t>53</w:t>
    </w:r>
    <w:r>
      <w:rPr>
        <w:rStyle w:val="PageNumber"/>
      </w:rPr>
      <w:fldChar w:fldCharType="end"/>
    </w:r>
  </w:p>
  <w:p w:rsidR="00C76ED0" w:rsidRDefault="00C76ED0" w:rsidP="00645411">
    <w:pPr>
      <w:pStyle w:val="Footer"/>
      <w:ind w:right="360"/>
      <w:jc w:val="right"/>
    </w:pPr>
  </w:p>
  <w:p w:rsidR="00C76ED0" w:rsidRDefault="00C76E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695" w:rsidRDefault="00AF3695" w:rsidP="00645411">
      <w:pPr>
        <w:spacing w:after="0" w:line="240" w:lineRule="auto"/>
      </w:pPr>
      <w:r>
        <w:separator/>
      </w:r>
    </w:p>
  </w:footnote>
  <w:footnote w:type="continuationSeparator" w:id="0">
    <w:p w:rsidR="00AF3695" w:rsidRDefault="00AF3695" w:rsidP="00645411">
      <w:pPr>
        <w:spacing w:after="0" w:line="240" w:lineRule="auto"/>
      </w:pPr>
      <w:r>
        <w:continuationSeparator/>
      </w:r>
    </w:p>
  </w:footnote>
  <w:footnote w:id="1">
    <w:p w:rsidR="00C76ED0" w:rsidRDefault="00C76ED0" w:rsidP="00632B38">
      <w:pPr>
        <w:pStyle w:val="FootnoteText"/>
        <w:rPr>
          <w:rFonts w:cs="Times New Roman"/>
        </w:rPr>
      </w:pPr>
      <w:r>
        <w:rPr>
          <w:rStyle w:val="FootnoteReference"/>
          <w:rFonts w:cs="Times New Roman"/>
        </w:rPr>
        <w:footnoteRef/>
      </w:r>
      <w:r>
        <w:t xml:space="preserve"> INS, 2011</w:t>
      </w:r>
    </w:p>
  </w:footnote>
  <w:footnote w:id="2">
    <w:p w:rsidR="00C76ED0" w:rsidRDefault="00C76ED0" w:rsidP="00632B38">
      <w:pPr>
        <w:pStyle w:val="FootnoteText"/>
        <w:rPr>
          <w:rFonts w:cs="Times New Roman"/>
        </w:rPr>
      </w:pPr>
      <w:r>
        <w:rPr>
          <w:rStyle w:val="FootnoteReference"/>
          <w:rFonts w:cs="Times New Roman"/>
        </w:rPr>
        <w:footnoteRef/>
      </w:r>
      <w:r>
        <w:t xml:space="preserve"> Ministerul Muncii, Evoluţia indicatorilor privind sărăcia în perioada 2010-2011</w:t>
      </w:r>
    </w:p>
  </w:footnote>
  <w:footnote w:id="3">
    <w:p w:rsidR="00C76ED0" w:rsidRDefault="00C76ED0" w:rsidP="00632B38">
      <w:pPr>
        <w:pStyle w:val="FootnoteText"/>
        <w:rPr>
          <w:rFonts w:cs="Times New Roman"/>
        </w:rPr>
      </w:pPr>
      <w:r>
        <w:rPr>
          <w:rStyle w:val="FootnoteReference"/>
          <w:rFonts w:cs="Times New Roman"/>
        </w:rPr>
        <w:footnoteRef/>
      </w:r>
      <w:r>
        <w:t xml:space="preserve"> Date INS citate în </w:t>
      </w:r>
      <w:r w:rsidRPr="000128D4">
        <w:rPr>
          <w:i/>
          <w:iCs/>
        </w:rPr>
        <w:t>Raportul Comisiei Prezidenţiale pentru Analiza Riscurilor sociale şi Demografice</w:t>
      </w:r>
      <w:r w:rsidRPr="000128D4">
        <w:t>, 2009</w:t>
      </w:r>
      <w:r>
        <w:t xml:space="preserve">, p 331 disponibil la </w:t>
      </w:r>
      <w:r w:rsidRPr="000128D4">
        <w:t>http://www.presidency.ro/static/CPARSDR_raport_extins.pdf</w:t>
      </w:r>
    </w:p>
  </w:footnote>
  <w:footnote w:id="4">
    <w:p w:rsidR="00C76ED0" w:rsidRDefault="00C76ED0" w:rsidP="00632B38">
      <w:pPr>
        <w:autoSpaceDE w:val="0"/>
        <w:autoSpaceDN w:val="0"/>
        <w:adjustRightInd w:val="0"/>
      </w:pPr>
      <w:r>
        <w:rPr>
          <w:rStyle w:val="FootnoteReference"/>
        </w:rPr>
        <w:footnoteRef/>
      </w:r>
      <w:r w:rsidRPr="00CA00BC">
        <w:rPr>
          <w:lang w:val="ro-RO"/>
        </w:rPr>
        <w:t xml:space="preserve"> Cf.Ministerul Fondurilor Europene, </w:t>
      </w:r>
      <w:r w:rsidRPr="00D1631E">
        <w:rPr>
          <w:b/>
          <w:bCs/>
          <w:color w:val="365F91"/>
          <w:sz w:val="20"/>
          <w:szCs w:val="20"/>
          <w:lang w:val="ro-RO"/>
        </w:rPr>
        <w:t>A</w:t>
      </w:r>
      <w:r>
        <w:rPr>
          <w:b/>
          <w:bCs/>
          <w:color w:val="365F91"/>
          <w:sz w:val="20"/>
          <w:szCs w:val="20"/>
          <w:lang w:val="ro-RO"/>
        </w:rPr>
        <w:t xml:space="preserve">cord de  parteneriat propus de </w:t>
      </w:r>
      <w:r w:rsidRPr="00D1631E">
        <w:rPr>
          <w:b/>
          <w:bCs/>
          <w:color w:val="365F91"/>
          <w:sz w:val="20"/>
          <w:szCs w:val="20"/>
          <w:lang w:val="ro-RO"/>
        </w:rPr>
        <w:t xml:space="preserve"> ROMÂNIA </w:t>
      </w:r>
      <w:r>
        <w:rPr>
          <w:b/>
          <w:bCs/>
          <w:color w:val="365F91"/>
          <w:sz w:val="20"/>
          <w:szCs w:val="20"/>
          <w:lang w:val="ro-RO"/>
        </w:rPr>
        <w:t xml:space="preserve">pentru perioada de programare </w:t>
      </w:r>
      <w:r w:rsidRPr="00D1631E">
        <w:rPr>
          <w:b/>
          <w:bCs/>
          <w:color w:val="365F91"/>
          <w:sz w:val="20"/>
          <w:szCs w:val="20"/>
          <w:lang w:val="ro-RO"/>
        </w:rPr>
        <w:t xml:space="preserve"> 2014-2020</w:t>
      </w:r>
      <w:r>
        <w:rPr>
          <w:b/>
          <w:bCs/>
          <w:color w:val="365F91"/>
          <w:sz w:val="24"/>
          <w:szCs w:val="24"/>
          <w:lang w:val="ro-RO"/>
        </w:rPr>
        <w:t xml:space="preserve">, </w:t>
      </w:r>
      <w:r w:rsidRPr="00CA00BC">
        <w:rPr>
          <w:lang w:val="ro-RO"/>
        </w:rPr>
        <w:t xml:space="preserve"> p.6</w:t>
      </w:r>
    </w:p>
  </w:footnote>
  <w:footnote w:id="5">
    <w:p w:rsidR="00C76ED0" w:rsidRDefault="00C76ED0" w:rsidP="00632B38">
      <w:pPr>
        <w:pStyle w:val="FootnoteText"/>
        <w:rPr>
          <w:rFonts w:cs="Times New Roman"/>
        </w:rPr>
      </w:pPr>
      <w:r>
        <w:rPr>
          <w:rStyle w:val="FootnoteReference"/>
          <w:rFonts w:cs="Times New Roman"/>
        </w:rPr>
        <w:footnoteRef/>
      </w:r>
      <w:r>
        <w:t xml:space="preserve"> Idem, p.7</w:t>
      </w:r>
    </w:p>
  </w:footnote>
  <w:footnote w:id="6">
    <w:p w:rsidR="00C76ED0" w:rsidRDefault="00C76ED0" w:rsidP="00822FF7">
      <w:pPr>
        <w:pStyle w:val="FootnoteText"/>
        <w:jc w:val="both"/>
        <w:rPr>
          <w:rFonts w:cs="Times New Roman"/>
        </w:rPr>
      </w:pPr>
      <w:r>
        <w:rPr>
          <w:rStyle w:val="FootnoteReference"/>
          <w:rFonts w:cs="Times New Roman"/>
        </w:rPr>
        <w:footnoteRef/>
      </w:r>
      <w:r>
        <w:t xml:space="preserve"> Eurostat</w:t>
      </w:r>
    </w:p>
  </w:footnote>
  <w:footnote w:id="7">
    <w:p w:rsidR="00C76ED0" w:rsidRDefault="00C76ED0" w:rsidP="00822FF7">
      <w:pPr>
        <w:pStyle w:val="FootnoteText"/>
        <w:jc w:val="both"/>
      </w:pPr>
      <w:r>
        <w:rPr>
          <w:rStyle w:val="FootnoteReference"/>
        </w:rPr>
        <w:footnoteRef/>
      </w:r>
      <w:r>
        <w:t xml:space="preserve"> Aproximativ 80% dintre tinerii înregistrați ca emigrând în 2011 în statisticile oficiale se află între 18 și 40 de ani. Sursa: INS, Baza de date TEMPO</w:t>
      </w:r>
    </w:p>
  </w:footnote>
  <w:footnote w:id="8">
    <w:p w:rsidR="00C76ED0" w:rsidRPr="00CE50D7" w:rsidRDefault="00C76ED0" w:rsidP="00822FF7">
      <w:pPr>
        <w:jc w:val="both"/>
        <w:rPr>
          <w:rFonts w:eastAsia="Times New Roman"/>
          <w:sz w:val="20"/>
          <w:szCs w:val="20"/>
          <w:lang w:val="ro-RO" w:eastAsia="ro-RO"/>
        </w:rPr>
      </w:pPr>
      <w:r w:rsidRPr="00317EEA">
        <w:rPr>
          <w:rStyle w:val="FootnoteReference"/>
          <w:rFonts w:eastAsia="Times New Roman"/>
          <w:sz w:val="20"/>
          <w:szCs w:val="20"/>
          <w:lang w:val="ro-RO" w:eastAsia="ro-RO"/>
        </w:rPr>
        <w:footnoteRef/>
      </w:r>
      <w:r>
        <w:t xml:space="preserve"> </w:t>
      </w:r>
      <w:r w:rsidRPr="00CE50D7">
        <w:rPr>
          <w:rFonts w:eastAsia="Times New Roman"/>
          <w:sz w:val="20"/>
          <w:szCs w:val="20"/>
          <w:lang w:val="ro-RO" w:eastAsia="ro-RO"/>
        </w:rPr>
        <w:t>Rata sărăciei relative, conform metodologiei E</w:t>
      </w:r>
      <w:r>
        <w:rPr>
          <w:rFonts w:eastAsia="Times New Roman"/>
          <w:sz w:val="20"/>
          <w:szCs w:val="20"/>
          <w:lang w:val="ro-RO" w:eastAsia="ro-RO"/>
        </w:rPr>
        <w:t>urostat</w:t>
      </w:r>
      <w:r w:rsidRPr="00CE50D7">
        <w:rPr>
          <w:rFonts w:eastAsia="Times New Roman"/>
          <w:sz w:val="20"/>
          <w:szCs w:val="20"/>
          <w:lang w:val="ro-RO" w:eastAsia="ro-RO"/>
        </w:rPr>
        <w:t>, măsoară ponderea populației aflate sub 60% din venitul median pe adult echivalent la nivel național, prin urmare este mai degrabă un indicator de inegalitate și nu informează cu privire la resursele economice efectiv disponibile pentru indivizi în raport cu necesitățile ci doar despre distribuția veniturilor la nivel național; Tinerii sunt în risc mai ridicat și din punct de vedere al sărăciei absolute, indicator care măsoară ponderea indivizilor aflați sub un prag considerat necesar pentru asigurarea unui minim al nivelului de trai, de data aceasta fiind mai săraci chiar și decât copiii. În 2011 nivelul sărăciei era de 5,0% pe total , 8,4% pentru tinerii de 15-19 ani, 7,6% pentru 20-24 de ani, 6,0% pentru 25-29 ani și 4,6% pentru 30-34 de ani; rata sărăciei copiilor era în 2011 de 6,1% pentru 0-5 ani ș</w:t>
      </w:r>
      <w:r>
        <w:rPr>
          <w:rFonts w:eastAsia="Times New Roman"/>
          <w:sz w:val="20"/>
          <w:szCs w:val="20"/>
          <w:lang w:val="ro-RO" w:eastAsia="ro-RO"/>
        </w:rPr>
        <w:t>i 7,7% pentru 6-14 ani (sursa: MMFPSPV)</w:t>
      </w:r>
    </w:p>
  </w:footnote>
  <w:footnote w:id="9">
    <w:p w:rsidR="00C76ED0" w:rsidRDefault="00C76ED0" w:rsidP="00822FF7">
      <w:pPr>
        <w:pStyle w:val="FootnoteText"/>
        <w:jc w:val="both"/>
        <w:rPr>
          <w:rFonts w:cs="Times New Roman"/>
        </w:rPr>
      </w:pPr>
      <w:r w:rsidRPr="00094330">
        <w:rPr>
          <w:rStyle w:val="FootnoteReference"/>
          <w:rFonts w:cs="Times New Roman"/>
        </w:rPr>
        <w:footnoteRef/>
      </w:r>
      <w:r w:rsidRPr="00094330">
        <w:rPr>
          <w:rStyle w:val="FootnoteReference"/>
        </w:rPr>
        <w:t xml:space="preserve"> </w:t>
      </w:r>
      <w:r w:rsidRPr="00F06F11">
        <w:t>Indicator care măsoară atât distribuția veniturilor, prin rata sărăciei relative cât și (i) accesul la bunuri și servicii considerate de bază, prin rata de deprivare materială severă și (ii) accesul la venituri de pe piața muncii, prin indicatorul privind intensitatea foarte scăzută a muncii (timpul dedicat muncii din timpul total disponibil al persoanelor active economic din gospodărie)</w:t>
      </w:r>
    </w:p>
  </w:footnote>
  <w:footnote w:id="10">
    <w:p w:rsidR="00C76ED0" w:rsidRDefault="00C76ED0" w:rsidP="00822FF7">
      <w:pPr>
        <w:pStyle w:val="FootnoteText"/>
      </w:pPr>
      <w:r>
        <w:rPr>
          <w:rStyle w:val="FootnoteReference"/>
        </w:rPr>
        <w:footnoteRef/>
      </w:r>
      <w:r>
        <w:t xml:space="preserve"> Eurostat, date pentru 2011</w:t>
      </w:r>
    </w:p>
  </w:footnote>
  <w:footnote w:id="11">
    <w:p w:rsidR="00C76ED0" w:rsidRDefault="00C76ED0" w:rsidP="00822FF7">
      <w:pPr>
        <w:jc w:val="both"/>
      </w:pPr>
      <w:r w:rsidRPr="00317EEA">
        <w:rPr>
          <w:rStyle w:val="FootnoteReference"/>
          <w:rFonts w:eastAsia="Times New Roman" w:cs="Times New Roman"/>
          <w:sz w:val="20"/>
          <w:szCs w:val="20"/>
          <w:lang w:val="ro-RO" w:eastAsia="ro-RO"/>
        </w:rPr>
        <w:footnoteRef/>
      </w:r>
      <w:r w:rsidRPr="0002274F">
        <w:rPr>
          <w:lang w:val="ro-RO"/>
        </w:rPr>
        <w:t xml:space="preserve"> </w:t>
      </w:r>
      <w:r w:rsidRPr="00317EEA">
        <w:rPr>
          <w:rFonts w:eastAsia="Times New Roman"/>
          <w:sz w:val="20"/>
          <w:szCs w:val="20"/>
          <w:lang w:val="ro-RO" w:eastAsia="ro-RO"/>
        </w:rPr>
        <w:t>Rata de supraaglomerare a locuinței se măsoară luând în calcul numărul de camere disponibile în gospodărie, numărul de membri precum și vârsta și statutul lor familial.</w:t>
      </w:r>
    </w:p>
  </w:footnote>
  <w:footnote w:id="12">
    <w:p w:rsidR="00C76ED0" w:rsidRDefault="00C76ED0" w:rsidP="00822FF7">
      <w:pPr>
        <w:pStyle w:val="FootnoteText"/>
        <w:jc w:val="both"/>
        <w:rPr>
          <w:rFonts w:cs="Times New Roman"/>
        </w:rPr>
      </w:pPr>
      <w:r>
        <w:rPr>
          <w:rStyle w:val="FootnoteReference"/>
          <w:rFonts w:cs="Times New Roman"/>
        </w:rPr>
        <w:footnoteRef/>
      </w:r>
      <w:r>
        <w:t xml:space="preserve"> Pentru vârsta la prima căsătorie și vârsta la prima naștere, Comisia Economică a Națiunilor Unite pentru Europa, </w:t>
      </w:r>
      <w:r w:rsidRPr="00FB0E0F">
        <w:t>http://w3.unece.org/</w:t>
      </w:r>
    </w:p>
  </w:footnote>
  <w:footnote w:id="13">
    <w:p w:rsidR="00C76ED0" w:rsidRDefault="00C76ED0" w:rsidP="00822FF7">
      <w:pPr>
        <w:pStyle w:val="FootnoteText"/>
      </w:pPr>
      <w:r>
        <w:rPr>
          <w:rStyle w:val="FootnoteReference"/>
        </w:rPr>
        <w:footnoteRef/>
      </w:r>
      <w:r>
        <w:t xml:space="preserve"> BOPT-2012</w:t>
      </w:r>
    </w:p>
  </w:footnote>
  <w:footnote w:id="14">
    <w:p w:rsidR="00C76ED0" w:rsidRDefault="00C76ED0" w:rsidP="00822FF7">
      <w:pPr>
        <w:pStyle w:val="FootnoteText"/>
        <w:rPr>
          <w:rFonts w:cs="Times New Roman"/>
        </w:rPr>
      </w:pPr>
      <w:r>
        <w:rPr>
          <w:rStyle w:val="FootnoteReference"/>
          <w:rFonts w:cs="Times New Roman"/>
        </w:rPr>
        <w:footnoteRef/>
      </w:r>
      <w:r>
        <w:t xml:space="preserve"> Raportul dintre populaţia ocupată şi totalul populaţiei din aceeaşi grupă de vârstă, exprimat procentual</w:t>
      </w:r>
    </w:p>
  </w:footnote>
  <w:footnote w:id="15">
    <w:p w:rsidR="00C76ED0" w:rsidRDefault="00C76ED0" w:rsidP="00822FF7">
      <w:pPr>
        <w:autoSpaceDE w:val="0"/>
        <w:autoSpaceDN w:val="0"/>
        <w:adjustRightInd w:val="0"/>
        <w:spacing w:after="0"/>
      </w:pPr>
      <w:r w:rsidRPr="00D56A97">
        <w:rPr>
          <w:rStyle w:val="FootnoteReference"/>
          <w:sz w:val="20"/>
          <w:szCs w:val="20"/>
        </w:rPr>
        <w:footnoteRef/>
      </w:r>
      <w:r w:rsidRPr="0002274F">
        <w:rPr>
          <w:sz w:val="20"/>
          <w:szCs w:val="20"/>
          <w:lang w:val="ro-RO"/>
        </w:rPr>
        <w:t xml:space="preserve"> </w:t>
      </w:r>
      <w:r w:rsidRPr="00D56A97">
        <w:rPr>
          <w:sz w:val="20"/>
          <w:szCs w:val="20"/>
          <w:lang w:val="ro-RO"/>
        </w:rPr>
        <w:t>C</w:t>
      </w:r>
      <w:r w:rsidRPr="00707A21">
        <w:rPr>
          <w:rFonts w:eastAsia="Times New Roman"/>
          <w:sz w:val="20"/>
          <w:szCs w:val="20"/>
          <w:lang w:val="ro-RO" w:eastAsia="ro-RO"/>
        </w:rPr>
        <w:t xml:space="preserve">f. </w:t>
      </w:r>
      <w:r>
        <w:rPr>
          <w:rFonts w:eastAsia="Times New Roman"/>
          <w:sz w:val="20"/>
          <w:szCs w:val="20"/>
          <w:lang w:val="ro-RO" w:eastAsia="ro-RO"/>
        </w:rPr>
        <w:t>Comisiei Europene</w:t>
      </w:r>
      <w:r w:rsidRPr="00707A21">
        <w:rPr>
          <w:rFonts w:eastAsia="Times New Roman"/>
          <w:sz w:val="20"/>
          <w:szCs w:val="20"/>
          <w:lang w:val="ro-RO" w:eastAsia="ro-RO"/>
        </w:rPr>
        <w:t xml:space="preserve">, Recommendation for a COUNCIL RECOMMENDATION on Romania’s 2013 national reform programme and delivering a Council opinion on Romania’s convergence programme for 2012-2016 {SWD(2013) 373 final}, p. 4, disponibilă la </w:t>
      </w:r>
      <w:hyperlink r:id="rId1" w:history="1">
        <w:r w:rsidRPr="003677D6">
          <w:rPr>
            <w:rStyle w:val="Hyperlink"/>
            <w:sz w:val="20"/>
            <w:lang w:val="ro-RO"/>
          </w:rPr>
          <w:t>http://ec.europa.eu/europe2020/pdf/nd/csr2013_romania_en.pdf</w:t>
        </w:r>
      </w:hyperlink>
      <w:r w:rsidRPr="0002274F">
        <w:rPr>
          <w:lang w:val="ro-RO"/>
        </w:rPr>
        <w:t xml:space="preserve"> </w:t>
      </w:r>
    </w:p>
  </w:footnote>
  <w:footnote w:id="16">
    <w:p w:rsidR="00C76ED0" w:rsidRDefault="00C76ED0" w:rsidP="00822FF7">
      <w:pPr>
        <w:pStyle w:val="FootnoteText"/>
      </w:pPr>
      <w:r>
        <w:rPr>
          <w:rStyle w:val="FootnoteReference"/>
        </w:rPr>
        <w:footnoteRef/>
      </w:r>
      <w:r>
        <w:t xml:space="preserve"> Sursa datelor privind ocuparea temporară și cu timp pațial de lucru: Eurostat</w:t>
      </w:r>
    </w:p>
  </w:footnote>
  <w:footnote w:id="17">
    <w:p w:rsidR="00C76ED0" w:rsidRDefault="00C76ED0" w:rsidP="00822FF7">
      <w:pPr>
        <w:pStyle w:val="FootnoteText"/>
      </w:pPr>
      <w:r>
        <w:rPr>
          <w:rStyle w:val="FootnoteReference"/>
        </w:rPr>
        <w:footnoteRef/>
      </w:r>
      <w:r>
        <w:t xml:space="preserve"> Conform Analizei documentare din cadrul Acordului de Parteneriat (coordonat de MFE)</w:t>
      </w:r>
    </w:p>
  </w:footnote>
  <w:footnote w:id="18">
    <w:p w:rsidR="00C76ED0" w:rsidRDefault="00C76ED0" w:rsidP="00822FF7">
      <w:pPr>
        <w:pStyle w:val="FootnoteText"/>
      </w:pPr>
      <w:r>
        <w:rPr>
          <w:rStyle w:val="FootnoteReference"/>
        </w:rPr>
        <w:footnoteRef/>
      </w:r>
      <w:r>
        <w:t xml:space="preserve"> </w:t>
      </w:r>
      <w:r w:rsidRPr="00FF6AB9">
        <w:t>Raportul Comisiei prezidenţiale asupra riscurilor demografice din 2010</w:t>
      </w:r>
    </w:p>
  </w:footnote>
  <w:footnote w:id="19">
    <w:p w:rsidR="00C76ED0" w:rsidRDefault="00C76ED0" w:rsidP="00822FF7">
      <w:pPr>
        <w:pStyle w:val="FootnoteText"/>
        <w:jc w:val="both"/>
        <w:rPr>
          <w:rFonts w:cs="Times New Roman"/>
        </w:rPr>
      </w:pPr>
      <w:r>
        <w:rPr>
          <w:rStyle w:val="FootnoteReference"/>
          <w:rFonts w:cs="Times New Roman"/>
        </w:rPr>
        <w:footnoteRef/>
      </w:r>
      <w:r>
        <w:t xml:space="preserve"> Eurostat</w:t>
      </w:r>
    </w:p>
  </w:footnote>
  <w:footnote w:id="20">
    <w:p w:rsidR="00C76ED0" w:rsidRDefault="00C76ED0" w:rsidP="00822FF7">
      <w:pPr>
        <w:pStyle w:val="FootnoteText"/>
        <w:jc w:val="both"/>
        <w:rPr>
          <w:rFonts w:cs="Times New Roman"/>
        </w:rPr>
      </w:pPr>
      <w:r>
        <w:rPr>
          <w:rStyle w:val="FootnoteReference"/>
          <w:rFonts w:cs="Times New Roman"/>
        </w:rPr>
        <w:footnoteRef/>
      </w:r>
      <w:r>
        <w:t xml:space="preserve"> Rata șomajul se calculează ca raport între numărul şomerilor definiţi conform criteriilor Biroului Internaţional al Muncii (BIM) şi populaţia activă totală, exprimat procentual; Faptul că regiunile cele mai afectate de șomajul BIM nu sunt aceleași cu regiunile cu rate scăzute de ocupare (vezi mai sus în textul Strategiei) se explică prin modul diferit de calcul al celor doi indicatori</w:t>
      </w:r>
    </w:p>
  </w:footnote>
  <w:footnote w:id="21">
    <w:p w:rsidR="00C76ED0" w:rsidRDefault="00C76ED0" w:rsidP="00822FF7">
      <w:pPr>
        <w:pStyle w:val="FootnoteText"/>
        <w:rPr>
          <w:rFonts w:cs="Times New Roman"/>
        </w:rPr>
      </w:pPr>
      <w:r w:rsidRPr="00CE5612">
        <w:rPr>
          <w:rStyle w:val="FootnoteReference"/>
          <w:rFonts w:cs="Times New Roman"/>
        </w:rPr>
        <w:footnoteRef/>
      </w:r>
      <w:r w:rsidRPr="00CE5612">
        <w:t xml:space="preserve"> </w:t>
      </w:r>
      <w:r w:rsidRPr="00CE5612">
        <w:rPr>
          <w:noProof/>
        </w:rPr>
        <w:t>Absolvenţii recenţi de învăţământ superior şi integrarea lor pe piaţa muncii, Bucureşti, DOCIS; 2010</w:t>
      </w:r>
    </w:p>
  </w:footnote>
  <w:footnote w:id="22">
    <w:p w:rsidR="00C76ED0" w:rsidRDefault="00C76ED0" w:rsidP="00822FF7">
      <w:pPr>
        <w:pStyle w:val="FootnoteText"/>
        <w:jc w:val="both"/>
      </w:pPr>
      <w:r>
        <w:rPr>
          <w:rStyle w:val="FootnoteReference"/>
        </w:rPr>
        <w:footnoteRef/>
      </w:r>
      <w:r>
        <w:t xml:space="preserve"> Eurostat; </w:t>
      </w:r>
      <w:r w:rsidRPr="002613D7">
        <w:t xml:space="preserve">EU Youth Report 2012 arată </w:t>
      </w:r>
      <w:r>
        <w:t>că</w:t>
      </w:r>
      <w:r w:rsidRPr="002613D7">
        <w:t xml:space="preserve"> cele mai severe situaţii </w:t>
      </w:r>
      <w:r>
        <w:t>se înregistrează</w:t>
      </w:r>
      <w:r w:rsidRPr="002613D7">
        <w:t xml:space="preserve"> în România, Bulgaria, Irlanda, Grecia, Spania și Italia</w:t>
      </w:r>
      <w:r>
        <w:t xml:space="preserve"> și că p</w:t>
      </w:r>
      <w:r w:rsidRPr="00FF6AB9">
        <w:t>onderea tinerilor care nu sunt încadraţi profesional și nici nu urmează un program de educaţie sau de formare este mai mare în cadrul absolvenţilor de învăţământ superior în doar 7 ţări, printre care și România</w:t>
      </w:r>
    </w:p>
  </w:footnote>
  <w:footnote w:id="23">
    <w:p w:rsidR="00C76ED0" w:rsidRDefault="00C76ED0" w:rsidP="00822FF7">
      <w:pPr>
        <w:pStyle w:val="FootnoteText"/>
      </w:pPr>
      <w:r>
        <w:rPr>
          <w:rStyle w:val="FootnoteReference"/>
        </w:rPr>
        <w:footnoteRef/>
      </w:r>
      <w:r>
        <w:t xml:space="preserve"> BOPT-2012</w:t>
      </w:r>
    </w:p>
  </w:footnote>
  <w:footnote w:id="24">
    <w:p w:rsidR="00C76ED0" w:rsidRDefault="00C76ED0" w:rsidP="00822FF7">
      <w:pPr>
        <w:pStyle w:val="FootnoteText"/>
        <w:jc w:val="both"/>
      </w:pPr>
      <w:r>
        <w:rPr>
          <w:rStyle w:val="FootnoteReference"/>
        </w:rPr>
        <w:footnoteRef/>
      </w:r>
      <w:r>
        <w:t xml:space="preserve"> </w:t>
      </w:r>
      <w:r w:rsidRPr="00FF6AB9">
        <w:t>Rapoartele UE utilizează ca indicator pentru analiza antreprenoriatului rata de ocupare pe cont propriu, însă în cazul României semnificaţia fenomenului este mai complexă, o parte dintre tinerii aflaţi în această situaţie fiind prinși în forme de ocupare de subzistenţă în agricultură și uneori în afara ei</w:t>
      </w:r>
    </w:p>
  </w:footnote>
  <w:footnote w:id="25">
    <w:p w:rsidR="00C76ED0" w:rsidRDefault="00C76ED0" w:rsidP="00822FF7">
      <w:pPr>
        <w:pStyle w:val="FootnoteText"/>
        <w:jc w:val="both"/>
        <w:rPr>
          <w:rFonts w:cs="Times New Roman"/>
        </w:rPr>
      </w:pPr>
      <w:r>
        <w:rPr>
          <w:rStyle w:val="FootnoteReference"/>
          <w:rFonts w:cs="Times New Roman"/>
        </w:rPr>
        <w:footnoteRef/>
      </w:r>
      <w:r w:rsidRPr="00856EFB">
        <w:t xml:space="preserve"> Programul pentru stimularea înfiinţării şi dezvoltării microîntreprinderilor de către întreprinzătorii tineri – S.R.L.-D</w:t>
      </w:r>
      <w:r>
        <w:t>, disponibil la</w:t>
      </w:r>
      <w:r w:rsidRPr="00856EFB">
        <w:t xml:space="preserve"> </w:t>
      </w:r>
      <w:hyperlink r:id="rId2" w:history="1">
        <w:r w:rsidRPr="00856EFB">
          <w:rPr>
            <w:rStyle w:val="Hyperlink"/>
          </w:rPr>
          <w:t>http://programenationale2013.aippimm.ro/</w:t>
        </w:r>
      </w:hyperlink>
      <w:r w:rsidRPr="00856EFB">
        <w:t>.</w:t>
      </w:r>
    </w:p>
  </w:footnote>
  <w:footnote w:id="26">
    <w:p w:rsidR="00C76ED0" w:rsidRDefault="00C76ED0" w:rsidP="00822FF7">
      <w:pPr>
        <w:pStyle w:val="FootnoteText"/>
        <w:jc w:val="both"/>
        <w:rPr>
          <w:rFonts w:cs="Times New Roman"/>
        </w:rPr>
      </w:pPr>
      <w:r>
        <w:rPr>
          <w:rStyle w:val="FootnoteReference"/>
          <w:rFonts w:cs="Times New Roman"/>
        </w:rPr>
        <w:footnoteRef/>
      </w:r>
      <w:r w:rsidRPr="0002274F">
        <w:t xml:space="preserve"> Programul Naţional pentru dezvoltarea antreprenoriatului de tineret, Patronatul Tinerilor Întreprinzători din România. </w:t>
      </w:r>
    </w:p>
  </w:footnote>
  <w:footnote w:id="27">
    <w:p w:rsidR="00C76ED0" w:rsidRDefault="00C76ED0" w:rsidP="00822FF7">
      <w:pPr>
        <w:pStyle w:val="FootnoteText"/>
      </w:pPr>
      <w:r>
        <w:rPr>
          <w:rStyle w:val="FootnoteReference"/>
        </w:rPr>
        <w:footnoteRef/>
      </w:r>
      <w:r>
        <w:t xml:space="preserve"> Copiii care nu merg la școală, Institutul de Științe ale Educației, 2012</w:t>
      </w:r>
    </w:p>
  </w:footnote>
  <w:footnote w:id="28">
    <w:p w:rsidR="00C76ED0" w:rsidRDefault="00C76ED0" w:rsidP="00822FF7">
      <w:pPr>
        <w:pStyle w:val="FootnoteText"/>
      </w:pPr>
      <w:r>
        <w:rPr>
          <w:rStyle w:val="FootnoteReference"/>
        </w:rPr>
        <w:footnoteRef/>
      </w:r>
      <w:r>
        <w:t xml:space="preserve"> BOPT-2012</w:t>
      </w:r>
    </w:p>
  </w:footnote>
  <w:footnote w:id="29">
    <w:p w:rsidR="00C76ED0" w:rsidRDefault="00C76ED0" w:rsidP="00822FF7">
      <w:pPr>
        <w:pStyle w:val="FootnoteText"/>
      </w:pPr>
      <w:r>
        <w:rPr>
          <w:rStyle w:val="FootnoteReference"/>
        </w:rPr>
        <w:footnoteRef/>
      </w:r>
      <w:r>
        <w:t xml:space="preserve"> Eurostat</w:t>
      </w:r>
    </w:p>
  </w:footnote>
  <w:footnote w:id="30">
    <w:p w:rsidR="00C76ED0" w:rsidRPr="00AA7103" w:rsidRDefault="00C76ED0" w:rsidP="00822FF7">
      <w:pPr>
        <w:pStyle w:val="FootnoteText"/>
        <w:jc w:val="both"/>
        <w:rPr>
          <w:noProof/>
        </w:rPr>
      </w:pPr>
      <w:r>
        <w:rPr>
          <w:rStyle w:val="FootnoteReference"/>
          <w:rFonts w:cs="Times New Roman"/>
        </w:rPr>
        <w:footnoteRef/>
      </w:r>
      <w:r w:rsidRPr="007739FC">
        <w:rPr>
          <w:noProof/>
        </w:rPr>
        <w:t>The Global Inf</w:t>
      </w:r>
      <w:r>
        <w:rPr>
          <w:noProof/>
        </w:rPr>
        <w:t xml:space="preserve">ormation Technology Report 2012, </w:t>
      </w:r>
      <w:r w:rsidRPr="007739FC">
        <w:rPr>
          <w:noProof/>
        </w:rPr>
        <w:t xml:space="preserve">World Economic Forum’s Centre for Global Competitiveness and Performance </w:t>
      </w:r>
      <w:r>
        <w:rPr>
          <w:noProof/>
        </w:rPr>
        <w:t xml:space="preserve">plasează </w:t>
      </w:r>
      <w:r w:rsidRPr="00AA7103">
        <w:rPr>
          <w:noProof/>
        </w:rPr>
        <w:t>România se plasa pe locul 90 din 142 state, cu un scor de 3,3 pe o scară de la 1 la 7 în ceea ce priveşte calitatea sistemului educaţional</w:t>
      </w:r>
    </w:p>
  </w:footnote>
  <w:footnote w:id="31">
    <w:p w:rsidR="00C76ED0" w:rsidRDefault="00C76ED0" w:rsidP="00822FF7">
      <w:pPr>
        <w:pStyle w:val="FootnoteText"/>
      </w:pPr>
      <w:r>
        <w:rPr>
          <w:rStyle w:val="FootnoteReference"/>
        </w:rPr>
        <w:footnoteRef/>
      </w:r>
      <w:r>
        <w:t xml:space="preserve"> BOPT-2012</w:t>
      </w:r>
    </w:p>
  </w:footnote>
  <w:footnote w:id="32">
    <w:p w:rsidR="00C76ED0" w:rsidRDefault="00C76ED0" w:rsidP="00822FF7">
      <w:pPr>
        <w:pStyle w:val="FootnoteText"/>
        <w:rPr>
          <w:rFonts w:cs="Times New Roman"/>
        </w:rPr>
      </w:pPr>
      <w:r w:rsidRPr="00CE5612">
        <w:rPr>
          <w:rStyle w:val="FootnoteReference"/>
          <w:rFonts w:cs="Times New Roman"/>
        </w:rPr>
        <w:footnoteRef/>
      </w:r>
      <w:r w:rsidRPr="00CE5612">
        <w:t xml:space="preserve"> Employment and Social Developments in Europe, COMMISSION STAFF WORKING DOCUMENT, 2013, disponibil la http://register.consilium.europa.eu/pdf/en/13/st05/st05571-ad09.en13.pdf</w:t>
      </w:r>
    </w:p>
  </w:footnote>
  <w:footnote w:id="33">
    <w:p w:rsidR="00C76ED0" w:rsidRDefault="00C76ED0" w:rsidP="00822FF7">
      <w:pPr>
        <w:pStyle w:val="FootnoteText"/>
        <w:rPr>
          <w:rFonts w:cs="Times New Roman"/>
        </w:rPr>
      </w:pPr>
      <w:r>
        <w:rPr>
          <w:rStyle w:val="FootnoteReference"/>
          <w:rFonts w:cs="Times New Roman"/>
        </w:rPr>
        <w:footnoteRef/>
      </w:r>
      <w:r>
        <w:t xml:space="preserve"> Eurostat</w:t>
      </w:r>
    </w:p>
  </w:footnote>
  <w:footnote w:id="34">
    <w:p w:rsidR="00C76ED0" w:rsidRDefault="00C76ED0" w:rsidP="00822FF7">
      <w:pPr>
        <w:pStyle w:val="FootnoteText"/>
        <w:rPr>
          <w:rFonts w:cs="Times New Roman"/>
        </w:rPr>
      </w:pPr>
      <w:r>
        <w:rPr>
          <w:rStyle w:val="FootnoteReference"/>
          <w:rFonts w:cs="Times New Roman"/>
        </w:rPr>
        <w:footnoteRef/>
      </w:r>
      <w:r>
        <w:t xml:space="preserve"> Eurobarometrul Tineri în Mișcare 2011</w:t>
      </w:r>
    </w:p>
  </w:footnote>
  <w:footnote w:id="35">
    <w:p w:rsidR="00C76ED0" w:rsidRDefault="00C76ED0" w:rsidP="00822FF7">
      <w:pPr>
        <w:pStyle w:val="FootnoteText"/>
        <w:rPr>
          <w:rFonts w:cs="Times New Roman"/>
        </w:rPr>
      </w:pPr>
      <w:r>
        <w:rPr>
          <w:rStyle w:val="FootnoteReference"/>
          <w:rFonts w:cs="Times New Roman"/>
        </w:rPr>
        <w:footnoteRef/>
      </w:r>
      <w:r>
        <w:t xml:space="preserve"> INS, Baza de date Tempo</w:t>
      </w:r>
    </w:p>
  </w:footnote>
  <w:footnote w:id="36">
    <w:p w:rsidR="00C76ED0" w:rsidRDefault="00C76ED0" w:rsidP="00822FF7">
      <w:pPr>
        <w:pStyle w:val="FootnoteText"/>
        <w:jc w:val="both"/>
      </w:pPr>
      <w:r>
        <w:rPr>
          <w:rStyle w:val="FootnoteReference"/>
        </w:rPr>
        <w:footnoteRef/>
      </w:r>
      <w:r>
        <w:t xml:space="preserve"> Eurostat; conform BOPT-2012,</w:t>
      </w:r>
      <w:r>
        <w:rPr>
          <w:noProof/>
        </w:rPr>
        <w:t xml:space="preserve"> </w:t>
      </w:r>
      <w:r w:rsidRPr="00FF6AB9">
        <w:rPr>
          <w:noProof/>
        </w:rPr>
        <w:t>80% dintre tineri folosesc calcul</w:t>
      </w:r>
      <w:r>
        <w:rPr>
          <w:noProof/>
        </w:rPr>
        <w:t>a</w:t>
      </w:r>
      <w:r w:rsidRPr="00FF6AB9">
        <w:rPr>
          <w:noProof/>
        </w:rPr>
        <w:t xml:space="preserve">torul și internetul zilnic sau de câteva ori pe săptămână. </w:t>
      </w:r>
    </w:p>
  </w:footnote>
  <w:footnote w:id="37">
    <w:p w:rsidR="00C76ED0" w:rsidRDefault="00C76ED0" w:rsidP="00822FF7">
      <w:pPr>
        <w:pStyle w:val="FootnoteText"/>
        <w:rPr>
          <w:rFonts w:cs="Times New Roman"/>
        </w:rPr>
      </w:pPr>
      <w:r>
        <w:rPr>
          <w:rStyle w:val="FootnoteReference"/>
          <w:rFonts w:cs="Times New Roman"/>
        </w:rPr>
        <w:footnoteRef/>
      </w:r>
      <w:r>
        <w:t xml:space="preserve"> Comisia Europeană 2007, EU Youth Report 2012</w:t>
      </w:r>
    </w:p>
  </w:footnote>
  <w:footnote w:id="38">
    <w:p w:rsidR="00C76ED0" w:rsidRDefault="00C76ED0" w:rsidP="00822FF7">
      <w:pPr>
        <w:pStyle w:val="FootnoteText"/>
      </w:pPr>
      <w:r>
        <w:rPr>
          <w:rStyle w:val="FootnoteReference"/>
        </w:rPr>
        <w:footnoteRef/>
      </w:r>
      <w:r>
        <w:t xml:space="preserve"> BOPT-2012</w:t>
      </w:r>
    </w:p>
  </w:footnote>
  <w:footnote w:id="39">
    <w:p w:rsidR="00C76ED0" w:rsidRDefault="00C76ED0" w:rsidP="00822FF7">
      <w:pPr>
        <w:pStyle w:val="FootnoteText"/>
      </w:pPr>
      <w:r>
        <w:rPr>
          <w:rStyle w:val="FootnoteReference"/>
        </w:rPr>
        <w:footnoteRef/>
      </w:r>
      <w:r>
        <w:t xml:space="preserve"> Eurobarometrul Tineret în mișcare 2011</w:t>
      </w:r>
    </w:p>
  </w:footnote>
  <w:footnote w:id="40">
    <w:p w:rsidR="00C76ED0" w:rsidRDefault="00C76ED0" w:rsidP="00822FF7">
      <w:pPr>
        <w:pStyle w:val="FootnoteText"/>
      </w:pPr>
      <w:r>
        <w:rPr>
          <w:rStyle w:val="FootnoteReference"/>
        </w:rPr>
        <w:footnoteRef/>
      </w:r>
      <w:r>
        <w:t xml:space="preserve"> Eurostat</w:t>
      </w:r>
    </w:p>
  </w:footnote>
  <w:footnote w:id="41">
    <w:p w:rsidR="00C76ED0" w:rsidRDefault="00C76ED0" w:rsidP="00822FF7">
      <w:pPr>
        <w:pStyle w:val="FootnoteText"/>
        <w:jc w:val="both"/>
      </w:pPr>
      <w:r>
        <w:rPr>
          <w:rStyle w:val="FootnoteReference"/>
        </w:rPr>
        <w:footnoteRef/>
      </w:r>
      <w:r>
        <w:t xml:space="preserve"> </w:t>
      </w:r>
      <w:r w:rsidRPr="00FF6AB9">
        <w:t>Rapoartele de analiză documentară în cad</w:t>
      </w:r>
      <w:r>
        <w:t>rul dezbaterilor</w:t>
      </w:r>
      <w:r w:rsidRPr="00FF6AB9">
        <w:t xml:space="preserve"> coordonate de MFE </w:t>
      </w:r>
      <w:r>
        <w:t xml:space="preserve"> pentru elaborarea Acordului de Parteneriat</w:t>
      </w:r>
    </w:p>
  </w:footnote>
  <w:footnote w:id="42">
    <w:p w:rsidR="00C76ED0" w:rsidRDefault="00C76ED0" w:rsidP="00822FF7">
      <w:pPr>
        <w:pStyle w:val="FootnoteText"/>
      </w:pPr>
      <w:r>
        <w:rPr>
          <w:rStyle w:val="FootnoteReference"/>
        </w:rPr>
        <w:footnoteRef/>
      </w:r>
      <w:r>
        <w:t xml:space="preserve"> Idem</w:t>
      </w:r>
    </w:p>
  </w:footnote>
  <w:footnote w:id="43">
    <w:p w:rsidR="00C76ED0" w:rsidRDefault="00C76ED0" w:rsidP="00822FF7">
      <w:pPr>
        <w:pStyle w:val="FootnoteText"/>
      </w:pPr>
      <w:r>
        <w:rPr>
          <w:rStyle w:val="FootnoteReference"/>
        </w:rPr>
        <w:footnoteRef/>
      </w:r>
      <w:r>
        <w:t xml:space="preserve"> Strategia HIV /SIDA</w:t>
      </w:r>
    </w:p>
  </w:footnote>
  <w:footnote w:id="44">
    <w:p w:rsidR="00C76ED0" w:rsidRDefault="00C76ED0" w:rsidP="00822FF7">
      <w:pPr>
        <w:pStyle w:val="FootnoteText"/>
      </w:pPr>
      <w:r>
        <w:rPr>
          <w:rStyle w:val="FootnoteReference"/>
        </w:rPr>
        <w:footnoteRef/>
      </w:r>
      <w:r>
        <w:t xml:space="preserve"> Eurostat</w:t>
      </w:r>
    </w:p>
  </w:footnote>
  <w:footnote w:id="45">
    <w:p w:rsidR="00C76ED0" w:rsidRDefault="00C76ED0" w:rsidP="00822FF7">
      <w:pPr>
        <w:pStyle w:val="FootnoteText"/>
      </w:pPr>
      <w:r>
        <w:rPr>
          <w:rStyle w:val="FootnoteReference"/>
        </w:rPr>
        <w:footnoteRef/>
      </w:r>
      <w:r>
        <w:t xml:space="preserve"> BOPT-2012</w:t>
      </w:r>
    </w:p>
  </w:footnote>
  <w:footnote w:id="46">
    <w:p w:rsidR="00C76ED0" w:rsidRDefault="00C76ED0" w:rsidP="00822FF7">
      <w:pPr>
        <w:pStyle w:val="FootnoteText"/>
        <w:jc w:val="both"/>
        <w:rPr>
          <w:rFonts w:cs="Times New Roman"/>
        </w:rPr>
      </w:pPr>
      <w:r w:rsidRPr="006D0A40">
        <w:rPr>
          <w:rStyle w:val="FootnoteReference"/>
          <w:rFonts w:cs="Times New Roman"/>
        </w:rPr>
        <w:footnoteRef/>
      </w:r>
      <w:r w:rsidRPr="006D0A40">
        <w:t xml:space="preserve"> ANA şi MS (2011) </w:t>
      </w:r>
      <w:r w:rsidRPr="006D0A40">
        <w:rPr>
          <w:i/>
          <w:iCs/>
        </w:rPr>
        <w:t>Rezultatele studiului naţional în şcoli privind consumul de tutun, alcool şi droguri (ESPAD 2011) – SINTEZĂ</w:t>
      </w:r>
      <w:r w:rsidRPr="006D0A40">
        <w:t xml:space="preserve">. Sondaj naţional pe adolescenþii de 16 ani care frecventeazã instituþii de învãþãmânt post gimnazial, valurile 1999, </w:t>
      </w:r>
      <w:r>
        <w:t xml:space="preserve">2003, 2007 şi 2011. </w:t>
      </w:r>
      <w:r w:rsidRPr="00FF6AB9">
        <w:t>Datele BOPT-2012 indică ponderi asemănătoare pe ansamblul tinerilor, 9% dintre aceștia declarând că au consumat cel puţin o dată droguri ușoare.</w:t>
      </w:r>
    </w:p>
  </w:footnote>
  <w:footnote w:id="47">
    <w:p w:rsidR="00C76ED0" w:rsidRDefault="00C76ED0" w:rsidP="00822FF7">
      <w:pPr>
        <w:pStyle w:val="FootnoteText"/>
      </w:pPr>
      <w:r>
        <w:rPr>
          <w:rStyle w:val="FootnoteReference"/>
        </w:rPr>
        <w:footnoteRef/>
      </w:r>
      <w:r>
        <w:t xml:space="preserve"> BOPT-2012</w:t>
      </w:r>
    </w:p>
  </w:footnote>
  <w:footnote w:id="48">
    <w:p w:rsidR="00C76ED0" w:rsidRDefault="00C76ED0" w:rsidP="00822FF7">
      <w:pPr>
        <w:pStyle w:val="FootnoteText"/>
        <w:rPr>
          <w:rFonts w:cs="Times New Roman"/>
        </w:rPr>
      </w:pPr>
      <w:r>
        <w:rPr>
          <w:rStyle w:val="FootnoteReference"/>
          <w:rFonts w:cs="Times New Roman"/>
        </w:rPr>
        <w:footnoteRef/>
      </w:r>
      <w:r>
        <w:t xml:space="preserve"> BOPT-2012</w:t>
      </w:r>
    </w:p>
  </w:footnote>
  <w:footnote w:id="49">
    <w:p w:rsidR="00C76ED0" w:rsidRDefault="00C76ED0" w:rsidP="00822FF7">
      <w:pPr>
        <w:pStyle w:val="FootnoteText"/>
        <w:rPr>
          <w:rFonts w:cs="Times New Roman"/>
        </w:rPr>
      </w:pPr>
      <w:r w:rsidRPr="00FC5C69">
        <w:rPr>
          <w:rStyle w:val="FootnoteReference"/>
          <w:rFonts w:cs="Times New Roman"/>
        </w:rPr>
        <w:footnoteRef/>
      </w:r>
      <w:r w:rsidRPr="00266809">
        <w:t xml:space="preserve"> </w:t>
      </w:r>
      <w:r>
        <w:t>Anuarul Sportului, 2009</w:t>
      </w:r>
    </w:p>
  </w:footnote>
  <w:footnote w:id="50">
    <w:p w:rsidR="00C76ED0" w:rsidRDefault="00C76ED0" w:rsidP="00822FF7">
      <w:pPr>
        <w:pStyle w:val="FootnoteText"/>
        <w:rPr>
          <w:rFonts w:cs="Times New Roman"/>
        </w:rPr>
      </w:pPr>
      <w:r>
        <w:rPr>
          <w:rStyle w:val="FootnoteReference"/>
          <w:rFonts w:cs="Times New Roman"/>
        </w:rPr>
        <w:footnoteRef/>
      </w:r>
      <w:r>
        <w:t xml:space="preserve"> Restul datelor prezentate în această secțiune provin din BOPT-2012</w:t>
      </w:r>
    </w:p>
  </w:footnote>
  <w:footnote w:id="51">
    <w:p w:rsidR="00C76ED0" w:rsidRDefault="00C76ED0" w:rsidP="00822FF7">
      <w:pPr>
        <w:pStyle w:val="FootnoteText"/>
        <w:rPr>
          <w:rFonts w:cs="Times New Roman"/>
        </w:rPr>
      </w:pPr>
      <w:r>
        <w:rPr>
          <w:rStyle w:val="FootnoteReference"/>
          <w:rFonts w:cs="Times New Roman"/>
        </w:rPr>
        <w:footnoteRef/>
      </w:r>
      <w:r>
        <w:t xml:space="preserve"> Eurobarometrul Tineret în Mișcare 2011</w:t>
      </w:r>
    </w:p>
  </w:footnote>
  <w:footnote w:id="52">
    <w:p w:rsidR="00C76ED0" w:rsidRDefault="00C76ED0" w:rsidP="00822FF7">
      <w:pPr>
        <w:pStyle w:val="FootnoteText"/>
      </w:pPr>
      <w:r>
        <w:rPr>
          <w:rStyle w:val="FootnoteReference"/>
        </w:rPr>
        <w:footnoteRef/>
      </w:r>
      <w:r>
        <w:t xml:space="preserve"> BOPT-2012</w:t>
      </w:r>
    </w:p>
  </w:footnote>
  <w:footnote w:id="53">
    <w:p w:rsidR="00C76ED0" w:rsidRDefault="00C76ED0" w:rsidP="00822FF7">
      <w:pPr>
        <w:pStyle w:val="FootnoteText"/>
        <w:jc w:val="both"/>
      </w:pPr>
      <w:r>
        <w:rPr>
          <w:rStyle w:val="FootnoteReference"/>
        </w:rPr>
        <w:footnoteRef/>
      </w:r>
      <w:r>
        <w:t xml:space="preserve"> Idem</w:t>
      </w:r>
    </w:p>
  </w:footnote>
  <w:footnote w:id="54">
    <w:p w:rsidR="00C76ED0" w:rsidRPr="00084470" w:rsidRDefault="00C76ED0" w:rsidP="00822FF7">
      <w:pPr>
        <w:spacing w:after="0" w:line="240" w:lineRule="auto"/>
        <w:jc w:val="both"/>
        <w:rPr>
          <w:rFonts w:eastAsia="Times New Roman"/>
          <w:sz w:val="20"/>
          <w:szCs w:val="20"/>
          <w:lang w:val="ro-RO" w:eastAsia="ro-RO"/>
        </w:rPr>
      </w:pPr>
      <w:r>
        <w:rPr>
          <w:rStyle w:val="FootnoteReference"/>
        </w:rPr>
        <w:footnoteRef/>
      </w:r>
      <w:r>
        <w:t xml:space="preserve"> </w:t>
      </w:r>
      <w:r w:rsidRPr="00822FF7">
        <w:rPr>
          <w:rFonts w:eastAsia="Times New Roman"/>
          <w:sz w:val="20"/>
          <w:szCs w:val="20"/>
          <w:lang w:val="ro-RO" w:eastAsia="ro-RO"/>
        </w:rPr>
        <w:t>Excluziunea socială ne indică un proces prin care anumiti indivizi sunt impinși la marginea societății si împiedicați să participe pe deplin la viața socială, ca urmare a sărăciei sau a lipsei de competențe de bază și de oportunități de învățare pe termen lung, sau ca rezultat al discriminării” (Comisia Europeană, 2005).</w:t>
      </w:r>
    </w:p>
  </w:footnote>
  <w:footnote w:id="55">
    <w:p w:rsidR="00C76ED0" w:rsidRDefault="00C76ED0" w:rsidP="00822FF7">
      <w:pPr>
        <w:pStyle w:val="FootnoteText"/>
        <w:jc w:val="both"/>
        <w:rPr>
          <w:rFonts w:cs="Times New Roman"/>
        </w:rPr>
      </w:pPr>
      <w:r w:rsidRPr="00A620A0">
        <w:rPr>
          <w:rStyle w:val="FootnoteReference"/>
          <w:rFonts w:ascii="Times New Roman" w:hAnsi="Times New Roman" w:cs="Times New Roman"/>
        </w:rPr>
        <w:footnoteRef/>
      </w:r>
      <w:r w:rsidRPr="00A620A0">
        <w:rPr>
          <w:rFonts w:ascii="Times New Roman" w:hAnsi="Times New Roman" w:cs="Times New Roman"/>
        </w:rPr>
        <w:t xml:space="preserve"> Defintia PAFA se referă la acele persoane care locuiesc practic în strada, locuinte improvizate sau sunt gazduite temp</w:t>
      </w:r>
      <w:r>
        <w:rPr>
          <w:rFonts w:ascii="Times New Roman" w:hAnsi="Times New Roman" w:cs="Times New Roman"/>
        </w:rPr>
        <w:t xml:space="preserve">orar în adaposturi specializate. </w:t>
      </w:r>
    </w:p>
  </w:footnote>
  <w:footnote w:id="56">
    <w:p w:rsidR="00C76ED0" w:rsidRDefault="00C76ED0" w:rsidP="00822FF7">
      <w:pPr>
        <w:pStyle w:val="FootnoteText"/>
        <w:jc w:val="both"/>
        <w:rPr>
          <w:rFonts w:cs="Times New Roman"/>
        </w:rPr>
      </w:pPr>
      <w:r>
        <w:rPr>
          <w:rStyle w:val="FootnoteReference"/>
          <w:rFonts w:cs="Times New Roman"/>
        </w:rPr>
        <w:footnoteRef/>
      </w:r>
      <w:r>
        <w:t xml:space="preserve"> </w:t>
      </w:r>
      <w:r w:rsidRPr="000D702C">
        <w:rPr>
          <w:rFonts w:ascii="Times New Roman" w:hAnsi="Times New Roman" w:cs="Times New Roman"/>
        </w:rPr>
        <w:t>MMF</w:t>
      </w:r>
      <w:r>
        <w:rPr>
          <w:rFonts w:ascii="Times New Roman" w:hAnsi="Times New Roman" w:cs="Times New Roman"/>
        </w:rPr>
        <w:t>PS</w:t>
      </w:r>
      <w:r w:rsidRPr="000D702C">
        <w:rPr>
          <w:rFonts w:ascii="Times New Roman" w:hAnsi="Times New Roman" w:cs="Times New Roman"/>
        </w:rPr>
        <w:t>PV</w:t>
      </w:r>
    </w:p>
  </w:footnote>
  <w:footnote w:id="57">
    <w:p w:rsidR="00C76ED0" w:rsidRDefault="00C76ED0" w:rsidP="00822FF7">
      <w:pPr>
        <w:pStyle w:val="FootnoteText"/>
        <w:jc w:val="both"/>
        <w:rPr>
          <w:rFonts w:cs="Times New Roman"/>
        </w:rPr>
      </w:pPr>
      <w:r w:rsidRPr="00C73E6D">
        <w:rPr>
          <w:rStyle w:val="FootnoteReference"/>
          <w:rFonts w:cs="Times New Roman"/>
        </w:rPr>
        <w:footnoteRef/>
      </w:r>
      <w:r w:rsidRPr="00C73E6D">
        <w:t xml:space="preserve"> </w:t>
      </w:r>
      <w:r w:rsidRPr="00822FF7">
        <w:rPr>
          <w:rFonts w:ascii="Times New Roman" w:hAnsi="Times New Roman" w:cs="Times New Roman"/>
        </w:rPr>
        <w:t>Raport documentar în cadrul consultărilor coordonate de MFE pentru elaborarea Acordului de Parteneriat</w:t>
      </w:r>
    </w:p>
  </w:footnote>
  <w:footnote w:id="58">
    <w:p w:rsidR="00C76ED0" w:rsidRDefault="00C76ED0" w:rsidP="00822FF7">
      <w:pPr>
        <w:pStyle w:val="FootnoteText"/>
        <w:jc w:val="both"/>
        <w:rPr>
          <w:rFonts w:cs="Times New Roman"/>
        </w:rPr>
      </w:pPr>
      <w:r w:rsidRPr="006D0A40">
        <w:rPr>
          <w:rStyle w:val="FootnoteReference"/>
          <w:rFonts w:cs="Times New Roman"/>
        </w:rPr>
        <w:footnoteRef/>
      </w:r>
      <w:r w:rsidRPr="006D0A40">
        <w:t xml:space="preserve"> </w:t>
      </w:r>
      <w:r>
        <w:t xml:space="preserve">Idem. Sunt citate următoarele cercetări: </w:t>
      </w:r>
      <w:r w:rsidRPr="006D0A40">
        <w:t>Rughini</w:t>
      </w:r>
      <w:r>
        <w:t>ş</w:t>
      </w:r>
      <w:r w:rsidRPr="006D0A40">
        <w:t xml:space="preserve"> (2000); Stănculescu şi Berevoescu (coord., 2004); Sandu (2005); Berescu et al. (2006); Berescu et al. (2007); CPARSD (2009); Stănculescu (coord., 2010); Botonogu (coord., 2011). </w:t>
      </w:r>
    </w:p>
  </w:footnote>
  <w:footnote w:id="59">
    <w:p w:rsidR="00C76ED0" w:rsidRDefault="00C76ED0" w:rsidP="00822FF7">
      <w:pPr>
        <w:pStyle w:val="FootnoteText"/>
        <w:jc w:val="both"/>
        <w:rPr>
          <w:rFonts w:cs="Times New Roman"/>
        </w:rPr>
      </w:pPr>
      <w:r>
        <w:rPr>
          <w:rStyle w:val="FootnoteReference"/>
          <w:rFonts w:cs="Times New Roman"/>
        </w:rPr>
        <w:footnoteRef/>
      </w:r>
      <w:r>
        <w:t xml:space="preserve"> MMSSPV</w:t>
      </w:r>
    </w:p>
  </w:footnote>
  <w:footnote w:id="60">
    <w:p w:rsidR="00C76ED0" w:rsidRDefault="00C76ED0" w:rsidP="00822FF7">
      <w:pPr>
        <w:pStyle w:val="FootnoteText"/>
        <w:jc w:val="both"/>
        <w:rPr>
          <w:rFonts w:cs="Times New Roman"/>
        </w:rPr>
      </w:pPr>
      <w:r>
        <w:rPr>
          <w:rStyle w:val="FootnoteReference"/>
          <w:rFonts w:cs="Times New Roman"/>
        </w:rPr>
        <w:footnoteRef/>
      </w:r>
      <w:r>
        <w:t xml:space="preserve"> Soros, 2007</w:t>
      </w:r>
    </w:p>
  </w:footnote>
  <w:footnote w:id="61">
    <w:p w:rsidR="00C76ED0" w:rsidRDefault="00C76ED0" w:rsidP="00822FF7">
      <w:pPr>
        <w:pStyle w:val="FootnoteText"/>
        <w:jc w:val="both"/>
        <w:rPr>
          <w:rFonts w:cs="Times New Roman"/>
        </w:rPr>
      </w:pPr>
      <w:r>
        <w:rPr>
          <w:rStyle w:val="FootnoteReference"/>
          <w:rFonts w:cs="Times New Roman"/>
        </w:rPr>
        <w:footnoteRef/>
      </w:r>
      <w:r>
        <w:t xml:space="preserve"> Strategia Națională HIV /SIDA 2011-2015</w:t>
      </w:r>
    </w:p>
  </w:footnote>
  <w:footnote w:id="62">
    <w:p w:rsidR="00C76ED0" w:rsidRDefault="00C76ED0" w:rsidP="00822FF7">
      <w:pPr>
        <w:pStyle w:val="FootnoteText"/>
        <w:jc w:val="both"/>
      </w:pPr>
      <w:r>
        <w:rPr>
          <w:rStyle w:val="FootnoteReference"/>
        </w:rPr>
        <w:footnoteRef/>
      </w:r>
      <w:r>
        <w:t xml:space="preserve"> Agenția Națională împotriva traficului de persoane, Raport privind situația traficului de persoane în anul 2012</w:t>
      </w:r>
    </w:p>
  </w:footnote>
  <w:footnote w:id="63">
    <w:p w:rsidR="00C76ED0" w:rsidRDefault="00C76ED0" w:rsidP="00822FF7">
      <w:pPr>
        <w:pStyle w:val="FootnoteText"/>
        <w:jc w:val="both"/>
      </w:pPr>
      <w:r>
        <w:rPr>
          <w:rStyle w:val="FootnoteReference"/>
        </w:rPr>
        <w:footnoteRef/>
      </w:r>
      <w:r>
        <w:t xml:space="preserve"> Raport documentar în cadrul consultărilor coordonate de MFE pentru elaborarea Acordului de Parteneriat</w:t>
      </w:r>
    </w:p>
  </w:footnote>
  <w:footnote w:id="64">
    <w:p w:rsidR="00C76ED0" w:rsidRDefault="00C76ED0" w:rsidP="00822FF7">
      <w:pPr>
        <w:pStyle w:val="FootnoteText"/>
        <w:jc w:val="both"/>
        <w:rPr>
          <w:rFonts w:cs="Times New Roman"/>
        </w:rPr>
      </w:pPr>
      <w:r>
        <w:rPr>
          <w:rStyle w:val="FootnoteReference"/>
          <w:rFonts w:cs="Times New Roman"/>
        </w:rPr>
        <w:footnoteRef/>
      </w:r>
      <w:r>
        <w:t xml:space="preserve"> Consiliul Național pentru Combaterea Discriminării, 2012</w:t>
      </w:r>
    </w:p>
  </w:footnote>
  <w:footnote w:id="65">
    <w:p w:rsidR="00C76ED0" w:rsidRPr="00D800D5" w:rsidRDefault="00C76ED0" w:rsidP="00822FF7">
      <w:pPr>
        <w:jc w:val="both"/>
        <w:rPr>
          <w:rFonts w:eastAsia="Times New Roman"/>
          <w:sz w:val="20"/>
          <w:szCs w:val="20"/>
          <w:lang w:val="ro-RO" w:eastAsia="ro-RO"/>
        </w:rPr>
      </w:pPr>
      <w:r w:rsidRPr="00D800D5">
        <w:rPr>
          <w:rStyle w:val="FootnoteReference"/>
          <w:rFonts w:eastAsia="Times New Roman" w:cs="Times New Roman"/>
          <w:sz w:val="20"/>
          <w:szCs w:val="20"/>
          <w:lang w:val="ro-RO" w:eastAsia="ro-RO"/>
        </w:rPr>
        <w:footnoteRef/>
      </w:r>
      <w:r w:rsidRPr="00D800D5">
        <w:rPr>
          <w:rStyle w:val="FootnoteReference"/>
          <w:rFonts w:eastAsia="Times New Roman" w:cs="Times New Roman"/>
          <w:sz w:val="20"/>
          <w:szCs w:val="20"/>
          <w:lang w:val="ro-RO" w:eastAsia="ro-RO"/>
        </w:rPr>
        <w:t xml:space="preserve"> </w:t>
      </w:r>
      <w:r>
        <w:rPr>
          <w:rFonts w:eastAsia="Times New Roman" w:cs="Times New Roman"/>
          <w:sz w:val="20"/>
          <w:szCs w:val="20"/>
          <w:lang w:val="ro-RO" w:eastAsia="ro-RO"/>
        </w:rPr>
        <w:t xml:space="preserve">UNICEF, </w:t>
      </w:r>
      <w:r w:rsidRPr="00D800D5">
        <w:rPr>
          <w:rFonts w:eastAsia="Times New Roman"/>
          <w:sz w:val="20"/>
          <w:szCs w:val="20"/>
          <w:lang w:val="ro-RO" w:eastAsia="ro-RO"/>
        </w:rPr>
        <w:t>Situ</w:t>
      </w:r>
      <w:r>
        <w:rPr>
          <w:rFonts w:eastAsia="Times New Roman"/>
          <w:sz w:val="20"/>
          <w:szCs w:val="20"/>
          <w:lang w:val="ro-RO" w:eastAsia="ro-RO"/>
        </w:rPr>
        <w:t>aţia adolescenţilor din România, 2012</w:t>
      </w:r>
    </w:p>
    <w:p w:rsidR="00C76ED0" w:rsidRDefault="00C76ED0" w:rsidP="00822FF7">
      <w:pPr>
        <w:pStyle w:val="FootnoteText"/>
      </w:pPr>
    </w:p>
  </w:footnote>
  <w:footnote w:id="66">
    <w:p w:rsidR="00C76ED0" w:rsidRDefault="00C76ED0">
      <w:pPr>
        <w:pStyle w:val="FootnoteText"/>
        <w:rPr>
          <w:rFonts w:cs="Times New Roman"/>
        </w:rPr>
      </w:pPr>
      <w:r>
        <w:rPr>
          <w:rStyle w:val="FootnoteReference"/>
          <w:rFonts w:cs="Times New Roman"/>
        </w:rPr>
        <w:footnoteRef/>
      </w:r>
      <w:r>
        <w:t xml:space="preserve">  În cadrul prezentei Strategii, sintagma „organizaţii neguvernamentale de şi pentru tineret”, prescurtat ONGT, se referă la toate asociaţiile de elevi, studenţi şi alte categorii de tineri, la fundaţiile pentru tineret judeţene şi a municipiului Bucureşti înfiinţate prin Decretul-Lege nr. 150/1990, cu modificările şi completările ulterioare, la structurile de tineret  ale sindicatelor şi ale partidelor/organizaţiilor politice, precum şi la organizaţiile neguvernamentale ale căror obiective şi/sau programe şi activităţi se adresează tinerilor în general sau doar unor categorii de tineri.</w:t>
      </w:r>
    </w:p>
  </w:footnote>
  <w:footnote w:id="67">
    <w:p w:rsidR="00C76ED0" w:rsidRDefault="00C76ED0" w:rsidP="00645411">
      <w:pPr>
        <w:pStyle w:val="FootnoteText"/>
        <w:rPr>
          <w:rFonts w:cs="Times New Roman"/>
        </w:rPr>
      </w:pPr>
      <w:r>
        <w:rPr>
          <w:rStyle w:val="FootnoteReference"/>
          <w:rFonts w:cs="Times New Roman"/>
        </w:rPr>
        <w:footnoteRef/>
      </w:r>
      <w:r>
        <w:t xml:space="preserve"> Erasmus for Young Entrepreneurs Program, </w:t>
      </w:r>
      <w:hyperlink r:id="rId3" w:history="1">
        <w:r>
          <w:rPr>
            <w:rStyle w:val="Hyperlink"/>
          </w:rPr>
          <w:t>http://www.eurodesk.org/edesk/SearchDb.do?go=1&amp;progId=EU0010000401&amp;show</w:t>
        </w:r>
      </w:hyperlink>
      <w:r>
        <w:t xml:space="preserve"> </w:t>
      </w:r>
    </w:p>
  </w:footnote>
  <w:footnote w:id="68">
    <w:p w:rsidR="00C76ED0" w:rsidRDefault="00C76ED0" w:rsidP="00645411">
      <w:pPr>
        <w:pStyle w:val="FootnoteText"/>
        <w:rPr>
          <w:rFonts w:cs="Times New Roman"/>
        </w:rPr>
      </w:pPr>
      <w:r>
        <w:rPr>
          <w:rStyle w:val="FootnoteReference"/>
          <w:rFonts w:cs="Times New Roman"/>
        </w:rPr>
        <w:footnoteRef/>
      </w:r>
      <w:r>
        <w:t xml:space="preserve"> Cf. </w:t>
      </w:r>
      <w:r w:rsidRPr="009072A3">
        <w:t>Documentul de lucru al staff-ului Comisiei Europene privind indicatorii UE în domeniul tineretului</w:t>
      </w:r>
      <w:r>
        <w:t xml:space="preserve">, disponibil la </w:t>
      </w:r>
      <w:r w:rsidRPr="00703E62">
        <w:t>http://ec.europa.eu/youth/news/doc/sec401_en.pdf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6AF"/>
    <w:multiLevelType w:val="hybridMultilevel"/>
    <w:tmpl w:val="FECC7CBA"/>
    <w:lvl w:ilvl="0" w:tplc="2216256C">
      <w:start w:val="1"/>
      <w:numFmt w:val="lowerLetter"/>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
    <w:nsid w:val="045B5474"/>
    <w:multiLevelType w:val="hybridMultilevel"/>
    <w:tmpl w:val="5ECC2488"/>
    <w:lvl w:ilvl="0" w:tplc="04090019">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
    <w:nsid w:val="04ED39FE"/>
    <w:multiLevelType w:val="hybridMultilevel"/>
    <w:tmpl w:val="0EAE7718"/>
    <w:lvl w:ilvl="0" w:tplc="0409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5801C8B"/>
    <w:multiLevelType w:val="hybridMultilevel"/>
    <w:tmpl w:val="315282C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5C203D3"/>
    <w:multiLevelType w:val="hybridMultilevel"/>
    <w:tmpl w:val="71543C9E"/>
    <w:lvl w:ilvl="0" w:tplc="04090019">
      <w:start w:val="1"/>
      <w:numFmt w:val="lowerLetter"/>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5">
    <w:nsid w:val="09EE1254"/>
    <w:multiLevelType w:val="hybridMultilevel"/>
    <w:tmpl w:val="86E0C56A"/>
    <w:lvl w:ilvl="0" w:tplc="04090019">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6">
    <w:nsid w:val="0C2D4A0E"/>
    <w:multiLevelType w:val="hybridMultilevel"/>
    <w:tmpl w:val="5E48506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CF13B30"/>
    <w:multiLevelType w:val="hybridMultilevel"/>
    <w:tmpl w:val="CD48BF6A"/>
    <w:lvl w:ilvl="0" w:tplc="04090019">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0ED10C9D"/>
    <w:multiLevelType w:val="hybridMultilevel"/>
    <w:tmpl w:val="C73E4734"/>
    <w:lvl w:ilvl="0" w:tplc="A04C211E">
      <w:numFmt w:val="bullet"/>
      <w:lvlText w:val="-"/>
      <w:lvlJc w:val="left"/>
      <w:pPr>
        <w:tabs>
          <w:tab w:val="num" w:pos="720"/>
        </w:tabs>
        <w:ind w:left="720" w:hanging="360"/>
      </w:pPr>
      <w:rPr>
        <w:rFonts w:ascii="Calibri" w:eastAsia="Times New Roman" w:hAnsi="Calibri"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11620F21"/>
    <w:multiLevelType w:val="multilevel"/>
    <w:tmpl w:val="78641FAC"/>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161F5379"/>
    <w:multiLevelType w:val="hybridMultilevel"/>
    <w:tmpl w:val="1E8C6AEC"/>
    <w:lvl w:ilvl="0" w:tplc="49021E24">
      <w:start w:val="1"/>
      <w:numFmt w:val="bullet"/>
      <w:lvlText w:val="-"/>
      <w:lvlJc w:val="left"/>
      <w:pPr>
        <w:ind w:left="1142" w:hanging="360"/>
      </w:pPr>
      <w:rPr>
        <w:rFonts w:ascii="Calibri" w:hAnsi="Calibri" w:cs="Calibri" w:hint="default"/>
      </w:rPr>
    </w:lvl>
    <w:lvl w:ilvl="1" w:tplc="04090003">
      <w:start w:val="1"/>
      <w:numFmt w:val="bullet"/>
      <w:lvlText w:val="o"/>
      <w:lvlJc w:val="left"/>
      <w:pPr>
        <w:ind w:left="1862" w:hanging="360"/>
      </w:pPr>
      <w:rPr>
        <w:rFonts w:ascii="Courier New" w:hAnsi="Courier New" w:cs="Courier New" w:hint="default"/>
      </w:rPr>
    </w:lvl>
    <w:lvl w:ilvl="2" w:tplc="04090005">
      <w:start w:val="1"/>
      <w:numFmt w:val="bullet"/>
      <w:lvlText w:val=""/>
      <w:lvlJc w:val="left"/>
      <w:pPr>
        <w:ind w:left="2582" w:hanging="360"/>
      </w:pPr>
      <w:rPr>
        <w:rFonts w:ascii="Wingdings" w:hAnsi="Wingdings" w:cs="Wingdings" w:hint="default"/>
      </w:rPr>
    </w:lvl>
    <w:lvl w:ilvl="3" w:tplc="04090001">
      <w:start w:val="1"/>
      <w:numFmt w:val="bullet"/>
      <w:lvlText w:val=""/>
      <w:lvlJc w:val="left"/>
      <w:pPr>
        <w:ind w:left="3302" w:hanging="360"/>
      </w:pPr>
      <w:rPr>
        <w:rFonts w:ascii="Symbol" w:hAnsi="Symbol" w:cs="Symbol" w:hint="default"/>
      </w:rPr>
    </w:lvl>
    <w:lvl w:ilvl="4" w:tplc="04090003">
      <w:start w:val="1"/>
      <w:numFmt w:val="bullet"/>
      <w:lvlText w:val="o"/>
      <w:lvlJc w:val="left"/>
      <w:pPr>
        <w:ind w:left="4022" w:hanging="360"/>
      </w:pPr>
      <w:rPr>
        <w:rFonts w:ascii="Courier New" w:hAnsi="Courier New" w:cs="Courier New" w:hint="default"/>
      </w:rPr>
    </w:lvl>
    <w:lvl w:ilvl="5" w:tplc="04090005">
      <w:start w:val="1"/>
      <w:numFmt w:val="bullet"/>
      <w:lvlText w:val=""/>
      <w:lvlJc w:val="left"/>
      <w:pPr>
        <w:ind w:left="4742" w:hanging="360"/>
      </w:pPr>
      <w:rPr>
        <w:rFonts w:ascii="Wingdings" w:hAnsi="Wingdings" w:cs="Wingdings" w:hint="default"/>
      </w:rPr>
    </w:lvl>
    <w:lvl w:ilvl="6" w:tplc="04090001">
      <w:start w:val="1"/>
      <w:numFmt w:val="bullet"/>
      <w:lvlText w:val=""/>
      <w:lvlJc w:val="left"/>
      <w:pPr>
        <w:ind w:left="5462" w:hanging="360"/>
      </w:pPr>
      <w:rPr>
        <w:rFonts w:ascii="Symbol" w:hAnsi="Symbol" w:cs="Symbol" w:hint="default"/>
      </w:rPr>
    </w:lvl>
    <w:lvl w:ilvl="7" w:tplc="04090003">
      <w:start w:val="1"/>
      <w:numFmt w:val="bullet"/>
      <w:lvlText w:val="o"/>
      <w:lvlJc w:val="left"/>
      <w:pPr>
        <w:ind w:left="6182" w:hanging="360"/>
      </w:pPr>
      <w:rPr>
        <w:rFonts w:ascii="Courier New" w:hAnsi="Courier New" w:cs="Courier New" w:hint="default"/>
      </w:rPr>
    </w:lvl>
    <w:lvl w:ilvl="8" w:tplc="04090005">
      <w:start w:val="1"/>
      <w:numFmt w:val="bullet"/>
      <w:lvlText w:val=""/>
      <w:lvlJc w:val="left"/>
      <w:pPr>
        <w:ind w:left="6902" w:hanging="360"/>
      </w:pPr>
      <w:rPr>
        <w:rFonts w:ascii="Wingdings" w:hAnsi="Wingdings" w:cs="Wingdings" w:hint="default"/>
      </w:rPr>
    </w:lvl>
  </w:abstractNum>
  <w:abstractNum w:abstractNumId="11">
    <w:nsid w:val="18AD4F91"/>
    <w:multiLevelType w:val="hybridMultilevel"/>
    <w:tmpl w:val="46DCD7C2"/>
    <w:lvl w:ilvl="0" w:tplc="0409000F">
      <w:start w:val="1"/>
      <w:numFmt w:val="decimal"/>
      <w:lvlText w:val="%1."/>
      <w:lvlJc w:val="left"/>
      <w:pPr>
        <w:ind w:left="786" w:hanging="360"/>
      </w:pPr>
      <w:rPr>
        <w:rFonts w:hint="default"/>
      </w:rPr>
    </w:lvl>
    <w:lvl w:ilvl="1" w:tplc="F2DA5968">
      <w:start w:val="1"/>
      <w:numFmt w:val="lowerLetter"/>
      <w:lvlText w:val="%2."/>
      <w:lvlJc w:val="left"/>
      <w:pPr>
        <w:ind w:left="2061"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2">
    <w:nsid w:val="192B3151"/>
    <w:multiLevelType w:val="hybridMultilevel"/>
    <w:tmpl w:val="5ACCA844"/>
    <w:lvl w:ilvl="0" w:tplc="49021E24">
      <w:start w:val="1"/>
      <w:numFmt w:val="bullet"/>
      <w:lvlText w:val="-"/>
      <w:lvlJc w:val="left"/>
      <w:pPr>
        <w:ind w:left="720" w:hanging="360"/>
      </w:pPr>
      <w:rPr>
        <w:rFonts w:ascii="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19F92874"/>
    <w:multiLevelType w:val="hybridMultilevel"/>
    <w:tmpl w:val="78223C0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1A805CD7"/>
    <w:multiLevelType w:val="hybridMultilevel"/>
    <w:tmpl w:val="E6B8A05C"/>
    <w:lvl w:ilvl="0" w:tplc="04090019">
      <w:start w:val="1"/>
      <w:numFmt w:val="lowerLetter"/>
      <w:lvlText w:val="%1."/>
      <w:lvlJc w:val="left"/>
      <w:pPr>
        <w:ind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5">
    <w:nsid w:val="1FEB3E55"/>
    <w:multiLevelType w:val="hybridMultilevel"/>
    <w:tmpl w:val="E5F6A97A"/>
    <w:lvl w:ilvl="0" w:tplc="04090019">
      <w:start w:val="1"/>
      <w:numFmt w:val="lowerLetter"/>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6">
    <w:nsid w:val="20DC42EC"/>
    <w:multiLevelType w:val="hybridMultilevel"/>
    <w:tmpl w:val="4A8434AE"/>
    <w:lvl w:ilvl="0" w:tplc="0409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2627541B"/>
    <w:multiLevelType w:val="hybridMultilevel"/>
    <w:tmpl w:val="BB4273CE"/>
    <w:lvl w:ilvl="0" w:tplc="D07E0632">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Lucida Grande" w:hint="default"/>
      </w:rPr>
    </w:lvl>
    <w:lvl w:ilvl="2" w:tplc="04090005">
      <w:start w:val="1"/>
      <w:numFmt w:val="bullet"/>
      <w:lvlText w:val=""/>
      <w:lvlJc w:val="left"/>
      <w:pPr>
        <w:ind w:left="2160" w:hanging="360"/>
      </w:pPr>
      <w:rPr>
        <w:rFonts w:ascii="Wingdings" w:hAnsi="Wingdings" w:cs="Lucida Grande" w:hint="default"/>
      </w:rPr>
    </w:lvl>
    <w:lvl w:ilvl="3" w:tplc="04090001">
      <w:start w:val="1"/>
      <w:numFmt w:val="bullet"/>
      <w:lvlText w:val=""/>
      <w:lvlJc w:val="left"/>
      <w:pPr>
        <w:ind w:left="2880" w:hanging="360"/>
      </w:pPr>
      <w:rPr>
        <w:rFonts w:ascii="Symbol" w:hAnsi="Symbol" w:cs="Lucida Grande" w:hint="default"/>
      </w:rPr>
    </w:lvl>
    <w:lvl w:ilvl="4" w:tplc="04090003">
      <w:start w:val="1"/>
      <w:numFmt w:val="bullet"/>
      <w:lvlText w:val="o"/>
      <w:lvlJc w:val="left"/>
      <w:pPr>
        <w:ind w:left="3600" w:hanging="360"/>
      </w:pPr>
      <w:rPr>
        <w:rFonts w:ascii="Courier New" w:hAnsi="Courier New" w:cs="Lucida Grande" w:hint="default"/>
      </w:rPr>
    </w:lvl>
    <w:lvl w:ilvl="5" w:tplc="04090005">
      <w:start w:val="1"/>
      <w:numFmt w:val="bullet"/>
      <w:lvlText w:val=""/>
      <w:lvlJc w:val="left"/>
      <w:pPr>
        <w:ind w:left="4320" w:hanging="360"/>
      </w:pPr>
      <w:rPr>
        <w:rFonts w:ascii="Wingdings" w:hAnsi="Wingdings" w:cs="Lucida Grande" w:hint="default"/>
      </w:rPr>
    </w:lvl>
    <w:lvl w:ilvl="6" w:tplc="04090001">
      <w:start w:val="1"/>
      <w:numFmt w:val="bullet"/>
      <w:lvlText w:val=""/>
      <w:lvlJc w:val="left"/>
      <w:pPr>
        <w:ind w:left="5040" w:hanging="360"/>
      </w:pPr>
      <w:rPr>
        <w:rFonts w:ascii="Symbol" w:hAnsi="Symbol" w:cs="Lucida Grande" w:hint="default"/>
      </w:rPr>
    </w:lvl>
    <w:lvl w:ilvl="7" w:tplc="04090003">
      <w:start w:val="1"/>
      <w:numFmt w:val="bullet"/>
      <w:lvlText w:val="o"/>
      <w:lvlJc w:val="left"/>
      <w:pPr>
        <w:ind w:left="5760" w:hanging="360"/>
      </w:pPr>
      <w:rPr>
        <w:rFonts w:ascii="Courier New" w:hAnsi="Courier New" w:cs="Lucida Grande" w:hint="default"/>
      </w:rPr>
    </w:lvl>
    <w:lvl w:ilvl="8" w:tplc="04090005">
      <w:start w:val="1"/>
      <w:numFmt w:val="bullet"/>
      <w:lvlText w:val=""/>
      <w:lvlJc w:val="left"/>
      <w:pPr>
        <w:ind w:left="6480" w:hanging="360"/>
      </w:pPr>
      <w:rPr>
        <w:rFonts w:ascii="Wingdings" w:hAnsi="Wingdings" w:cs="Lucida Grande" w:hint="default"/>
      </w:rPr>
    </w:lvl>
  </w:abstractNum>
  <w:abstractNum w:abstractNumId="18">
    <w:nsid w:val="2B912488"/>
    <w:multiLevelType w:val="hybridMultilevel"/>
    <w:tmpl w:val="C4A0A07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2CC66F6A"/>
    <w:multiLevelType w:val="hybridMultilevel"/>
    <w:tmpl w:val="1E8C6AEC"/>
    <w:lvl w:ilvl="0" w:tplc="49021E2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890AA7"/>
    <w:multiLevelType w:val="hybridMultilevel"/>
    <w:tmpl w:val="CB5866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2E651384"/>
    <w:multiLevelType w:val="hybridMultilevel"/>
    <w:tmpl w:val="7E2A788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57000792">
      <w:start w:val="1"/>
      <w:numFmt w:val="decimal"/>
      <w:lvlText w:val="%3."/>
      <w:lvlJc w:val="left"/>
      <w:pPr>
        <w:ind w:left="3060" w:hanging="360"/>
      </w:pPr>
      <w:rPr>
        <w:rFonts w:hint="default"/>
        <w:u w:val="none"/>
      </w:rPr>
    </w:lvl>
    <w:lvl w:ilvl="3" w:tplc="022CC816">
      <w:start w:val="1"/>
      <w:numFmt w:val="upperRoman"/>
      <w:lvlText w:val="%4."/>
      <w:lvlJc w:val="left"/>
      <w:pPr>
        <w:ind w:left="3960" w:hanging="720"/>
      </w:pPr>
      <w:rPr>
        <w:rFonts w:hint="default"/>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nsid w:val="303E744A"/>
    <w:multiLevelType w:val="multilevel"/>
    <w:tmpl w:val="1E8C6AEC"/>
    <w:lvl w:ilvl="0">
      <w:start w:val="1"/>
      <w:numFmt w:val="bullet"/>
      <w:lvlText w:val=""/>
      <w:lvlJc w:val="left"/>
      <w:pPr>
        <w:ind w:left="6" w:hanging="360"/>
      </w:pPr>
      <w:rPr>
        <w:rFonts w:ascii="Symbol" w:hAnsi="Symbol" w:hint="default"/>
        <w:sz w:val="20"/>
      </w:rPr>
    </w:lvl>
    <w:lvl w:ilvl="1">
      <w:start w:val="1"/>
      <w:numFmt w:val="bullet"/>
      <w:lvlText w:val="o"/>
      <w:lvlJc w:val="left"/>
      <w:pPr>
        <w:ind w:left="726" w:hanging="360"/>
      </w:pPr>
      <w:rPr>
        <w:rFonts w:ascii="Courier New" w:hAnsi="Courier New" w:hint="default"/>
      </w:rPr>
    </w:lvl>
    <w:lvl w:ilvl="2">
      <w:start w:val="1"/>
      <w:numFmt w:val="bullet"/>
      <w:lvlText w:val=""/>
      <w:lvlJc w:val="left"/>
      <w:pPr>
        <w:ind w:left="1446" w:hanging="360"/>
      </w:pPr>
      <w:rPr>
        <w:rFonts w:ascii="Wingdings" w:hAnsi="Wingdings" w:hint="default"/>
      </w:rPr>
    </w:lvl>
    <w:lvl w:ilvl="3">
      <w:start w:val="1"/>
      <w:numFmt w:val="bullet"/>
      <w:lvlText w:val=""/>
      <w:lvlJc w:val="left"/>
      <w:pPr>
        <w:ind w:left="2166" w:hanging="360"/>
      </w:pPr>
      <w:rPr>
        <w:rFonts w:ascii="Symbol" w:hAnsi="Symbol" w:hint="default"/>
      </w:rPr>
    </w:lvl>
    <w:lvl w:ilvl="4">
      <w:start w:val="1"/>
      <w:numFmt w:val="bullet"/>
      <w:lvlText w:val="o"/>
      <w:lvlJc w:val="left"/>
      <w:pPr>
        <w:ind w:left="2886" w:hanging="360"/>
      </w:pPr>
      <w:rPr>
        <w:rFonts w:ascii="Courier New" w:hAnsi="Courier New" w:hint="default"/>
      </w:rPr>
    </w:lvl>
    <w:lvl w:ilvl="5">
      <w:start w:val="1"/>
      <w:numFmt w:val="bullet"/>
      <w:lvlText w:val=""/>
      <w:lvlJc w:val="left"/>
      <w:pPr>
        <w:ind w:left="3606" w:hanging="360"/>
      </w:pPr>
      <w:rPr>
        <w:rFonts w:ascii="Wingdings" w:hAnsi="Wingdings" w:hint="default"/>
      </w:rPr>
    </w:lvl>
    <w:lvl w:ilvl="6">
      <w:start w:val="1"/>
      <w:numFmt w:val="bullet"/>
      <w:lvlText w:val=""/>
      <w:lvlJc w:val="left"/>
      <w:pPr>
        <w:ind w:left="4326" w:hanging="360"/>
      </w:pPr>
      <w:rPr>
        <w:rFonts w:ascii="Symbol" w:hAnsi="Symbol" w:hint="default"/>
      </w:rPr>
    </w:lvl>
    <w:lvl w:ilvl="7">
      <w:start w:val="1"/>
      <w:numFmt w:val="bullet"/>
      <w:lvlText w:val="o"/>
      <w:lvlJc w:val="left"/>
      <w:pPr>
        <w:ind w:left="5046" w:hanging="360"/>
      </w:pPr>
      <w:rPr>
        <w:rFonts w:ascii="Courier New" w:hAnsi="Courier New" w:hint="default"/>
      </w:rPr>
    </w:lvl>
    <w:lvl w:ilvl="8">
      <w:start w:val="1"/>
      <w:numFmt w:val="bullet"/>
      <w:lvlText w:val=""/>
      <w:lvlJc w:val="left"/>
      <w:pPr>
        <w:ind w:left="5766" w:hanging="360"/>
      </w:pPr>
      <w:rPr>
        <w:rFonts w:ascii="Wingdings" w:hAnsi="Wingdings" w:hint="default"/>
      </w:rPr>
    </w:lvl>
  </w:abstractNum>
  <w:abstractNum w:abstractNumId="23">
    <w:nsid w:val="32A05092"/>
    <w:multiLevelType w:val="hybridMultilevel"/>
    <w:tmpl w:val="6494EF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335924D5"/>
    <w:multiLevelType w:val="hybridMultilevel"/>
    <w:tmpl w:val="DAA2237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35C8784D"/>
    <w:multiLevelType w:val="hybridMultilevel"/>
    <w:tmpl w:val="FDD20132"/>
    <w:lvl w:ilvl="0" w:tplc="0409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nsid w:val="372C54ED"/>
    <w:multiLevelType w:val="hybridMultilevel"/>
    <w:tmpl w:val="E408C01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EFC5CB6">
      <w:start w:val="1"/>
      <w:numFmt w:val="lowerLetter"/>
      <w:lvlText w:val="%5."/>
      <w:lvlJc w:val="left"/>
      <w:pPr>
        <w:ind w:left="3600" w:hanging="360"/>
      </w:pPr>
      <w:rPr>
        <w:rFonts w:ascii="Times New Roman" w:eastAsia="Times New Roman" w:hAnsi="Times New Roman"/>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384572E9"/>
    <w:multiLevelType w:val="hybridMultilevel"/>
    <w:tmpl w:val="2E9800F6"/>
    <w:lvl w:ilvl="0" w:tplc="0409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40F54A47"/>
    <w:multiLevelType w:val="hybridMultilevel"/>
    <w:tmpl w:val="71543C9E"/>
    <w:lvl w:ilvl="0" w:tplc="04090019">
      <w:start w:val="1"/>
      <w:numFmt w:val="lowerLetter"/>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29">
    <w:nsid w:val="45AB7198"/>
    <w:multiLevelType w:val="hybridMultilevel"/>
    <w:tmpl w:val="26BE9FE8"/>
    <w:lvl w:ilvl="0" w:tplc="04180019">
      <w:start w:val="1"/>
      <w:numFmt w:val="lowerLetter"/>
      <w:lvlText w:val="%1."/>
      <w:lvlJc w:val="left"/>
      <w:pPr>
        <w:ind w:left="360" w:hanging="360"/>
      </w:pPr>
    </w:lvl>
    <w:lvl w:ilvl="1" w:tplc="04180019">
      <w:start w:val="1"/>
      <w:numFmt w:val="lowerLetter"/>
      <w:lvlText w:val="%2."/>
      <w:lvlJc w:val="left"/>
      <w:pPr>
        <w:ind w:left="1276"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30">
    <w:nsid w:val="4EA67FEE"/>
    <w:multiLevelType w:val="hybridMultilevel"/>
    <w:tmpl w:val="205A8F1A"/>
    <w:lvl w:ilvl="0" w:tplc="04090019">
      <w:start w:val="1"/>
      <w:numFmt w:val="lowerLetter"/>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1">
    <w:nsid w:val="4F634459"/>
    <w:multiLevelType w:val="hybridMultilevel"/>
    <w:tmpl w:val="9DFAE9E8"/>
    <w:lvl w:ilvl="0" w:tplc="7B56F398">
      <w:start w:val="1"/>
      <w:numFmt w:val="lowerLetter"/>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2">
    <w:nsid w:val="501E504D"/>
    <w:multiLevelType w:val="hybridMultilevel"/>
    <w:tmpl w:val="ABCE7232"/>
    <w:lvl w:ilvl="0" w:tplc="04090019">
      <w:start w:val="1"/>
      <w:numFmt w:val="lowerLetter"/>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nsid w:val="529D23DD"/>
    <w:multiLevelType w:val="hybridMultilevel"/>
    <w:tmpl w:val="3E40980E"/>
    <w:lvl w:ilvl="0" w:tplc="D07E0632">
      <w:start w:val="1"/>
      <w:numFmt w:val="bullet"/>
      <w:lvlText w:val="-"/>
      <w:lvlJc w:val="left"/>
      <w:pPr>
        <w:ind w:left="360" w:hanging="360"/>
      </w:pPr>
      <w:rPr>
        <w:rFonts w:ascii="Calibri" w:eastAsia="Times New Roman" w:hAnsi="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4">
    <w:nsid w:val="52FF42AA"/>
    <w:multiLevelType w:val="multilevel"/>
    <w:tmpl w:val="8D9C2E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54354EF8"/>
    <w:multiLevelType w:val="multilevel"/>
    <w:tmpl w:val="848083AE"/>
    <w:lvl w:ilvl="0">
      <w:start w:val="1"/>
      <w:numFmt w:val="lowerLetter"/>
      <w:lvlText w:val="%1)"/>
      <w:lvlJc w:val="left"/>
      <w:pPr>
        <w:ind w:left="720" w:hanging="360"/>
      </w:pPr>
      <w:rPr>
        <w:rFonts w:hint="default"/>
      </w:rPr>
    </w:lvl>
    <w:lvl w:ilvl="1">
      <w:start w:val="1"/>
      <w:numFmt w:val="lowerLetter"/>
      <w:lvlText w:val="%2."/>
      <w:lvlJc w:val="left"/>
      <w:pPr>
        <w:ind w:left="644"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A744FA4"/>
    <w:multiLevelType w:val="hybridMultilevel"/>
    <w:tmpl w:val="7B32D08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5AF0056F"/>
    <w:multiLevelType w:val="hybridMultilevel"/>
    <w:tmpl w:val="6D6C4CA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8">
    <w:nsid w:val="62FB0ABE"/>
    <w:multiLevelType w:val="hybridMultilevel"/>
    <w:tmpl w:val="162632F2"/>
    <w:lvl w:ilvl="0" w:tplc="D07E0632">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Lucida Grande" w:hint="default"/>
      </w:rPr>
    </w:lvl>
    <w:lvl w:ilvl="2" w:tplc="04090005">
      <w:start w:val="1"/>
      <w:numFmt w:val="bullet"/>
      <w:lvlText w:val=""/>
      <w:lvlJc w:val="left"/>
      <w:pPr>
        <w:ind w:left="2160" w:hanging="360"/>
      </w:pPr>
      <w:rPr>
        <w:rFonts w:ascii="Wingdings" w:hAnsi="Wingdings" w:cs="Lucida Grande" w:hint="default"/>
      </w:rPr>
    </w:lvl>
    <w:lvl w:ilvl="3" w:tplc="04090001">
      <w:start w:val="1"/>
      <w:numFmt w:val="bullet"/>
      <w:lvlText w:val=""/>
      <w:lvlJc w:val="left"/>
      <w:pPr>
        <w:ind w:left="2880" w:hanging="360"/>
      </w:pPr>
      <w:rPr>
        <w:rFonts w:ascii="Symbol" w:hAnsi="Symbol" w:cs="Lucida Grande" w:hint="default"/>
      </w:rPr>
    </w:lvl>
    <w:lvl w:ilvl="4" w:tplc="04090003">
      <w:start w:val="1"/>
      <w:numFmt w:val="bullet"/>
      <w:lvlText w:val="o"/>
      <w:lvlJc w:val="left"/>
      <w:pPr>
        <w:ind w:left="3600" w:hanging="360"/>
      </w:pPr>
      <w:rPr>
        <w:rFonts w:ascii="Courier New" w:hAnsi="Courier New" w:cs="Lucida Grande" w:hint="default"/>
      </w:rPr>
    </w:lvl>
    <w:lvl w:ilvl="5" w:tplc="04090005">
      <w:start w:val="1"/>
      <w:numFmt w:val="bullet"/>
      <w:lvlText w:val=""/>
      <w:lvlJc w:val="left"/>
      <w:pPr>
        <w:ind w:left="4320" w:hanging="360"/>
      </w:pPr>
      <w:rPr>
        <w:rFonts w:ascii="Wingdings" w:hAnsi="Wingdings" w:cs="Lucida Grande" w:hint="default"/>
      </w:rPr>
    </w:lvl>
    <w:lvl w:ilvl="6" w:tplc="04090001">
      <w:start w:val="1"/>
      <w:numFmt w:val="bullet"/>
      <w:lvlText w:val=""/>
      <w:lvlJc w:val="left"/>
      <w:pPr>
        <w:ind w:left="5040" w:hanging="360"/>
      </w:pPr>
      <w:rPr>
        <w:rFonts w:ascii="Symbol" w:hAnsi="Symbol" w:cs="Lucida Grande" w:hint="default"/>
      </w:rPr>
    </w:lvl>
    <w:lvl w:ilvl="7" w:tplc="04090003">
      <w:start w:val="1"/>
      <w:numFmt w:val="bullet"/>
      <w:lvlText w:val="o"/>
      <w:lvlJc w:val="left"/>
      <w:pPr>
        <w:ind w:left="5760" w:hanging="360"/>
      </w:pPr>
      <w:rPr>
        <w:rFonts w:ascii="Courier New" w:hAnsi="Courier New" w:cs="Lucida Grande" w:hint="default"/>
      </w:rPr>
    </w:lvl>
    <w:lvl w:ilvl="8" w:tplc="04090005">
      <w:start w:val="1"/>
      <w:numFmt w:val="bullet"/>
      <w:lvlText w:val=""/>
      <w:lvlJc w:val="left"/>
      <w:pPr>
        <w:ind w:left="6480" w:hanging="360"/>
      </w:pPr>
      <w:rPr>
        <w:rFonts w:ascii="Wingdings" w:hAnsi="Wingdings" w:cs="Lucida Grande" w:hint="default"/>
      </w:rPr>
    </w:lvl>
  </w:abstractNum>
  <w:abstractNum w:abstractNumId="39">
    <w:nsid w:val="642D53D4"/>
    <w:multiLevelType w:val="hybridMultilevel"/>
    <w:tmpl w:val="5ECC2488"/>
    <w:lvl w:ilvl="0" w:tplc="04090019">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0">
    <w:nsid w:val="66DD0B17"/>
    <w:multiLevelType w:val="hybridMultilevel"/>
    <w:tmpl w:val="2B42F72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nsid w:val="6ABD14F8"/>
    <w:multiLevelType w:val="hybridMultilevel"/>
    <w:tmpl w:val="6B285C28"/>
    <w:lvl w:ilvl="0" w:tplc="04090019">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2">
    <w:nsid w:val="6C804840"/>
    <w:multiLevelType w:val="hybridMultilevel"/>
    <w:tmpl w:val="1E8C6AEC"/>
    <w:lvl w:ilvl="0" w:tplc="49021E24">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7B6ADA"/>
    <w:multiLevelType w:val="hybridMultilevel"/>
    <w:tmpl w:val="9156390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4">
    <w:nsid w:val="71EA7A1A"/>
    <w:multiLevelType w:val="hybridMultilevel"/>
    <w:tmpl w:val="5DA4B410"/>
    <w:lvl w:ilvl="0" w:tplc="5C3E3EFA">
      <w:start w:val="4"/>
      <w:numFmt w:val="decimal"/>
      <w:lvlText w:val="%1."/>
      <w:lvlJc w:val="left"/>
      <w:pPr>
        <w:ind w:left="1086" w:hanging="360"/>
      </w:pPr>
      <w:rPr>
        <w:rFonts w:hint="default"/>
      </w:rPr>
    </w:lvl>
    <w:lvl w:ilvl="1" w:tplc="04180019">
      <w:start w:val="1"/>
      <w:numFmt w:val="lowerLetter"/>
      <w:lvlText w:val="%2."/>
      <w:lvlJc w:val="left"/>
      <w:pPr>
        <w:ind w:left="1806" w:hanging="360"/>
      </w:pPr>
    </w:lvl>
    <w:lvl w:ilvl="2" w:tplc="0418001B">
      <w:start w:val="1"/>
      <w:numFmt w:val="lowerRoman"/>
      <w:lvlText w:val="%3."/>
      <w:lvlJc w:val="right"/>
      <w:pPr>
        <w:ind w:left="2526" w:hanging="180"/>
      </w:pPr>
    </w:lvl>
    <w:lvl w:ilvl="3" w:tplc="0418000F">
      <w:start w:val="1"/>
      <w:numFmt w:val="decimal"/>
      <w:lvlText w:val="%4."/>
      <w:lvlJc w:val="left"/>
      <w:pPr>
        <w:ind w:left="3246" w:hanging="360"/>
      </w:pPr>
    </w:lvl>
    <w:lvl w:ilvl="4" w:tplc="04180019">
      <w:start w:val="1"/>
      <w:numFmt w:val="lowerLetter"/>
      <w:lvlText w:val="%5."/>
      <w:lvlJc w:val="left"/>
      <w:pPr>
        <w:ind w:left="3966" w:hanging="360"/>
      </w:pPr>
    </w:lvl>
    <w:lvl w:ilvl="5" w:tplc="0418001B">
      <w:start w:val="1"/>
      <w:numFmt w:val="lowerRoman"/>
      <w:lvlText w:val="%6."/>
      <w:lvlJc w:val="right"/>
      <w:pPr>
        <w:ind w:left="4686" w:hanging="180"/>
      </w:pPr>
    </w:lvl>
    <w:lvl w:ilvl="6" w:tplc="0418000F">
      <w:start w:val="1"/>
      <w:numFmt w:val="decimal"/>
      <w:lvlText w:val="%7."/>
      <w:lvlJc w:val="left"/>
      <w:pPr>
        <w:ind w:left="5406" w:hanging="360"/>
      </w:pPr>
    </w:lvl>
    <w:lvl w:ilvl="7" w:tplc="04180019">
      <w:start w:val="1"/>
      <w:numFmt w:val="lowerLetter"/>
      <w:lvlText w:val="%8."/>
      <w:lvlJc w:val="left"/>
      <w:pPr>
        <w:ind w:left="6126" w:hanging="360"/>
      </w:pPr>
    </w:lvl>
    <w:lvl w:ilvl="8" w:tplc="0418001B">
      <w:start w:val="1"/>
      <w:numFmt w:val="lowerRoman"/>
      <w:lvlText w:val="%9."/>
      <w:lvlJc w:val="right"/>
      <w:pPr>
        <w:ind w:left="6846" w:hanging="180"/>
      </w:pPr>
    </w:lvl>
  </w:abstractNum>
  <w:abstractNum w:abstractNumId="45">
    <w:nsid w:val="76171B62"/>
    <w:multiLevelType w:val="hybridMultilevel"/>
    <w:tmpl w:val="468CEC1C"/>
    <w:lvl w:ilvl="0" w:tplc="04090019">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6">
    <w:nsid w:val="778E4A2B"/>
    <w:multiLevelType w:val="hybridMultilevel"/>
    <w:tmpl w:val="3D8A31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79B8564D"/>
    <w:multiLevelType w:val="hybridMultilevel"/>
    <w:tmpl w:val="800A9114"/>
    <w:lvl w:ilvl="0" w:tplc="231432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79DA79C1"/>
    <w:multiLevelType w:val="hybridMultilevel"/>
    <w:tmpl w:val="63A4095A"/>
    <w:lvl w:ilvl="0" w:tplc="04090019">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20"/>
  </w:num>
  <w:num w:numId="2">
    <w:abstractNumId w:val="43"/>
  </w:num>
  <w:num w:numId="3">
    <w:abstractNumId w:val="6"/>
  </w:num>
  <w:num w:numId="4">
    <w:abstractNumId w:val="3"/>
  </w:num>
  <w:num w:numId="5">
    <w:abstractNumId w:val="18"/>
  </w:num>
  <w:num w:numId="6">
    <w:abstractNumId w:val="24"/>
  </w:num>
  <w:num w:numId="7">
    <w:abstractNumId w:val="36"/>
  </w:num>
  <w:num w:numId="8">
    <w:abstractNumId w:val="23"/>
  </w:num>
  <w:num w:numId="9">
    <w:abstractNumId w:val="13"/>
  </w:num>
  <w:num w:numId="10">
    <w:abstractNumId w:val="26"/>
  </w:num>
  <w:num w:numId="11">
    <w:abstractNumId w:val="21"/>
  </w:num>
  <w:num w:numId="12">
    <w:abstractNumId w:val="41"/>
  </w:num>
  <w:num w:numId="13">
    <w:abstractNumId w:val="5"/>
  </w:num>
  <w:num w:numId="14">
    <w:abstractNumId w:val="7"/>
  </w:num>
  <w:num w:numId="15">
    <w:abstractNumId w:val="45"/>
  </w:num>
  <w:num w:numId="16">
    <w:abstractNumId w:val="1"/>
  </w:num>
  <w:num w:numId="17">
    <w:abstractNumId w:val="48"/>
  </w:num>
  <w:num w:numId="18">
    <w:abstractNumId w:val="33"/>
  </w:num>
  <w:num w:numId="19">
    <w:abstractNumId w:val="11"/>
  </w:num>
  <w:num w:numId="20">
    <w:abstractNumId w:val="35"/>
  </w:num>
  <w:num w:numId="21">
    <w:abstractNumId w:val="44"/>
  </w:num>
  <w:num w:numId="22">
    <w:abstractNumId w:val="46"/>
  </w:num>
  <w:num w:numId="23">
    <w:abstractNumId w:val="39"/>
  </w:num>
  <w:num w:numId="24">
    <w:abstractNumId w:val="28"/>
  </w:num>
  <w:num w:numId="25">
    <w:abstractNumId w:val="9"/>
  </w:num>
  <w:num w:numId="26">
    <w:abstractNumId w:val="34"/>
  </w:num>
  <w:num w:numId="27">
    <w:abstractNumId w:val="47"/>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lvlOverride w:ilvl="2"/>
    <w:lvlOverride w:ilvl="3"/>
    <w:lvlOverride w:ilvl="4"/>
    <w:lvlOverride w:ilvl="5"/>
    <w:lvlOverride w:ilvl="6"/>
    <w:lvlOverride w:ilvl="7"/>
    <w:lvlOverride w:ilvl="8"/>
  </w:num>
  <w:num w:numId="30">
    <w:abstractNumId w:val="27"/>
    <w:lvlOverride w:ilvl="0">
      <w:startOverride w:val="1"/>
    </w:lvlOverride>
    <w:lvlOverride w:ilvl="1"/>
    <w:lvlOverride w:ilvl="2"/>
    <w:lvlOverride w:ilvl="3"/>
    <w:lvlOverride w:ilvl="4"/>
    <w:lvlOverride w:ilvl="5"/>
    <w:lvlOverride w:ilvl="6"/>
    <w:lvlOverride w:ilvl="7"/>
    <w:lvlOverride w:ilvl="8"/>
  </w:num>
  <w:num w:numId="31">
    <w:abstractNumId w:val="2"/>
    <w:lvlOverride w:ilvl="0">
      <w:startOverride w:val="1"/>
    </w:lvlOverride>
    <w:lvlOverride w:ilvl="1"/>
    <w:lvlOverride w:ilvl="2"/>
    <w:lvlOverride w:ilvl="3"/>
    <w:lvlOverride w:ilvl="4"/>
    <w:lvlOverride w:ilvl="5"/>
    <w:lvlOverride w:ilvl="6"/>
    <w:lvlOverride w:ilvl="7"/>
    <w:lvlOverride w:ilvl="8"/>
  </w:num>
  <w:num w:numId="32">
    <w:abstractNumId w:val="16"/>
    <w:lvlOverride w:ilvl="0">
      <w:startOverride w:val="1"/>
    </w:lvlOverride>
    <w:lvlOverride w:ilvl="1"/>
    <w:lvlOverride w:ilvl="2"/>
    <w:lvlOverride w:ilvl="3"/>
    <w:lvlOverride w:ilvl="4"/>
    <w:lvlOverride w:ilvl="5"/>
    <w:lvlOverride w:ilvl="6"/>
    <w:lvlOverride w:ilvl="7"/>
    <w:lvlOverride w:ilvl="8"/>
  </w:num>
  <w:num w:numId="33">
    <w:abstractNumId w:val="15"/>
    <w:lvlOverride w:ilvl="0">
      <w:startOverride w:val="1"/>
    </w:lvlOverride>
    <w:lvlOverride w:ilvl="1"/>
    <w:lvlOverride w:ilvl="2"/>
    <w:lvlOverride w:ilvl="3"/>
    <w:lvlOverride w:ilvl="4"/>
    <w:lvlOverride w:ilvl="5"/>
    <w:lvlOverride w:ilvl="6"/>
    <w:lvlOverride w:ilvl="7"/>
    <w:lvlOverride w:ilvl="8"/>
  </w:num>
  <w:num w:numId="34">
    <w:abstractNumId w:val="30"/>
  </w:num>
  <w:num w:numId="35">
    <w:abstractNumId w:val="14"/>
  </w:num>
  <w:num w:numId="36">
    <w:abstractNumId w:val="32"/>
  </w:num>
  <w:num w:numId="37">
    <w:abstractNumId w:val="29"/>
  </w:num>
  <w:num w:numId="38">
    <w:abstractNumId w:val="4"/>
  </w:num>
  <w:num w:numId="39">
    <w:abstractNumId w:val="31"/>
  </w:num>
  <w:num w:numId="40">
    <w:abstractNumId w:val="37"/>
  </w:num>
  <w:num w:numId="41">
    <w:abstractNumId w:val="12"/>
  </w:num>
  <w:num w:numId="42">
    <w:abstractNumId w:val="10"/>
  </w:num>
  <w:num w:numId="43">
    <w:abstractNumId w:val="8"/>
  </w:num>
  <w:num w:numId="44">
    <w:abstractNumId w:val="38"/>
  </w:num>
  <w:num w:numId="45">
    <w:abstractNumId w:val="17"/>
  </w:num>
  <w:num w:numId="46">
    <w:abstractNumId w:val="19"/>
  </w:num>
  <w:num w:numId="47">
    <w:abstractNumId w:val="42"/>
  </w:num>
  <w:num w:numId="48">
    <w:abstractNumId w:val="22"/>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A2"/>
    <w:rsid w:val="000128D4"/>
    <w:rsid w:val="0001441A"/>
    <w:rsid w:val="0002274F"/>
    <w:rsid w:val="00037E47"/>
    <w:rsid w:val="0005331C"/>
    <w:rsid w:val="00061DDB"/>
    <w:rsid w:val="00084554"/>
    <w:rsid w:val="00086F53"/>
    <w:rsid w:val="00087238"/>
    <w:rsid w:val="00094330"/>
    <w:rsid w:val="000A338F"/>
    <w:rsid w:val="000A3D9B"/>
    <w:rsid w:val="000A768E"/>
    <w:rsid w:val="000B71CF"/>
    <w:rsid w:val="000C3088"/>
    <w:rsid w:val="000C756E"/>
    <w:rsid w:val="000D702C"/>
    <w:rsid w:val="000E1E4E"/>
    <w:rsid w:val="000E6266"/>
    <w:rsid w:val="000F28DD"/>
    <w:rsid w:val="000F7571"/>
    <w:rsid w:val="0010277F"/>
    <w:rsid w:val="0010334A"/>
    <w:rsid w:val="00122242"/>
    <w:rsid w:val="00126070"/>
    <w:rsid w:val="001540FE"/>
    <w:rsid w:val="0015685A"/>
    <w:rsid w:val="001629DD"/>
    <w:rsid w:val="00187281"/>
    <w:rsid w:val="001B2969"/>
    <w:rsid w:val="001B2FC9"/>
    <w:rsid w:val="001B7EEF"/>
    <w:rsid w:val="001C70C3"/>
    <w:rsid w:val="001F3C9C"/>
    <w:rsid w:val="001F5245"/>
    <w:rsid w:val="0020672B"/>
    <w:rsid w:val="00207934"/>
    <w:rsid w:val="002079AE"/>
    <w:rsid w:val="0023339A"/>
    <w:rsid w:val="002362B5"/>
    <w:rsid w:val="00251D2F"/>
    <w:rsid w:val="00254B78"/>
    <w:rsid w:val="002613D7"/>
    <w:rsid w:val="00266809"/>
    <w:rsid w:val="00291DB1"/>
    <w:rsid w:val="00291EB1"/>
    <w:rsid w:val="002A2F64"/>
    <w:rsid w:val="002A6C39"/>
    <w:rsid w:val="002D376E"/>
    <w:rsid w:val="002D6E9E"/>
    <w:rsid w:val="002D7484"/>
    <w:rsid w:val="002E1E2F"/>
    <w:rsid w:val="002F4CC9"/>
    <w:rsid w:val="002F783A"/>
    <w:rsid w:val="00302BE6"/>
    <w:rsid w:val="003057B6"/>
    <w:rsid w:val="00307554"/>
    <w:rsid w:val="003133BA"/>
    <w:rsid w:val="00317EEA"/>
    <w:rsid w:val="00322095"/>
    <w:rsid w:val="0032285C"/>
    <w:rsid w:val="00335041"/>
    <w:rsid w:val="00335D95"/>
    <w:rsid w:val="003520BE"/>
    <w:rsid w:val="00357EA5"/>
    <w:rsid w:val="00360E1A"/>
    <w:rsid w:val="00364429"/>
    <w:rsid w:val="00365C09"/>
    <w:rsid w:val="003677D6"/>
    <w:rsid w:val="00373290"/>
    <w:rsid w:val="003766AA"/>
    <w:rsid w:val="00384E9A"/>
    <w:rsid w:val="003A23F6"/>
    <w:rsid w:val="003A252B"/>
    <w:rsid w:val="003A737F"/>
    <w:rsid w:val="003B1B9A"/>
    <w:rsid w:val="003B1C41"/>
    <w:rsid w:val="003B4108"/>
    <w:rsid w:val="003C1E33"/>
    <w:rsid w:val="003F016E"/>
    <w:rsid w:val="003F6BEB"/>
    <w:rsid w:val="003F78DA"/>
    <w:rsid w:val="00410A45"/>
    <w:rsid w:val="00413DAA"/>
    <w:rsid w:val="004142AD"/>
    <w:rsid w:val="00422449"/>
    <w:rsid w:val="00430086"/>
    <w:rsid w:val="004310C9"/>
    <w:rsid w:val="00442ABA"/>
    <w:rsid w:val="0044493C"/>
    <w:rsid w:val="004472AA"/>
    <w:rsid w:val="00453154"/>
    <w:rsid w:val="00453156"/>
    <w:rsid w:val="004610A6"/>
    <w:rsid w:val="00464588"/>
    <w:rsid w:val="00466D08"/>
    <w:rsid w:val="004716A9"/>
    <w:rsid w:val="0047260B"/>
    <w:rsid w:val="004813AC"/>
    <w:rsid w:val="00487543"/>
    <w:rsid w:val="00493BA2"/>
    <w:rsid w:val="00496221"/>
    <w:rsid w:val="004972B6"/>
    <w:rsid w:val="004A3FB4"/>
    <w:rsid w:val="004A4E46"/>
    <w:rsid w:val="004B5CE7"/>
    <w:rsid w:val="004D10CB"/>
    <w:rsid w:val="004D35EC"/>
    <w:rsid w:val="004E77D5"/>
    <w:rsid w:val="004F2B27"/>
    <w:rsid w:val="0050750F"/>
    <w:rsid w:val="005212F1"/>
    <w:rsid w:val="00522C63"/>
    <w:rsid w:val="005243B7"/>
    <w:rsid w:val="00527682"/>
    <w:rsid w:val="005277EF"/>
    <w:rsid w:val="0054612B"/>
    <w:rsid w:val="0055043C"/>
    <w:rsid w:val="0055414B"/>
    <w:rsid w:val="005543D6"/>
    <w:rsid w:val="00555A75"/>
    <w:rsid w:val="00570FE4"/>
    <w:rsid w:val="00584B76"/>
    <w:rsid w:val="0058567A"/>
    <w:rsid w:val="00591162"/>
    <w:rsid w:val="005928AC"/>
    <w:rsid w:val="0059572F"/>
    <w:rsid w:val="005A2067"/>
    <w:rsid w:val="005B6C0C"/>
    <w:rsid w:val="005C7EEB"/>
    <w:rsid w:val="005D1777"/>
    <w:rsid w:val="005D59ED"/>
    <w:rsid w:val="005E018A"/>
    <w:rsid w:val="005E4D47"/>
    <w:rsid w:val="005F4179"/>
    <w:rsid w:val="00601547"/>
    <w:rsid w:val="006019C7"/>
    <w:rsid w:val="00613E32"/>
    <w:rsid w:val="006160C0"/>
    <w:rsid w:val="00621A96"/>
    <w:rsid w:val="00623158"/>
    <w:rsid w:val="00632B38"/>
    <w:rsid w:val="00632F66"/>
    <w:rsid w:val="00645411"/>
    <w:rsid w:val="00655BEE"/>
    <w:rsid w:val="00660832"/>
    <w:rsid w:val="006610E7"/>
    <w:rsid w:val="00661750"/>
    <w:rsid w:val="0066691A"/>
    <w:rsid w:val="006B11F0"/>
    <w:rsid w:val="006B461E"/>
    <w:rsid w:val="006D0A40"/>
    <w:rsid w:val="00703E62"/>
    <w:rsid w:val="00707A21"/>
    <w:rsid w:val="00720029"/>
    <w:rsid w:val="0072163E"/>
    <w:rsid w:val="007218AF"/>
    <w:rsid w:val="007320CC"/>
    <w:rsid w:val="00732ABD"/>
    <w:rsid w:val="007333FF"/>
    <w:rsid w:val="0075142C"/>
    <w:rsid w:val="00757671"/>
    <w:rsid w:val="00762B68"/>
    <w:rsid w:val="007739FC"/>
    <w:rsid w:val="00776EEF"/>
    <w:rsid w:val="00777389"/>
    <w:rsid w:val="00784AB8"/>
    <w:rsid w:val="007875AA"/>
    <w:rsid w:val="007A49C8"/>
    <w:rsid w:val="007B0BF1"/>
    <w:rsid w:val="007B4F83"/>
    <w:rsid w:val="007C1494"/>
    <w:rsid w:val="007C75E4"/>
    <w:rsid w:val="007C7E49"/>
    <w:rsid w:val="007D3E82"/>
    <w:rsid w:val="007F1851"/>
    <w:rsid w:val="007F5976"/>
    <w:rsid w:val="007F7B4D"/>
    <w:rsid w:val="00812432"/>
    <w:rsid w:val="00822FF7"/>
    <w:rsid w:val="00850226"/>
    <w:rsid w:val="0085324D"/>
    <w:rsid w:val="00856EFB"/>
    <w:rsid w:val="00866F2F"/>
    <w:rsid w:val="00874319"/>
    <w:rsid w:val="0089514D"/>
    <w:rsid w:val="00897D06"/>
    <w:rsid w:val="008A1E8E"/>
    <w:rsid w:val="008B1AD9"/>
    <w:rsid w:val="008E0DB9"/>
    <w:rsid w:val="008E652B"/>
    <w:rsid w:val="008F23EB"/>
    <w:rsid w:val="009072A3"/>
    <w:rsid w:val="00910387"/>
    <w:rsid w:val="009222F8"/>
    <w:rsid w:val="00923B06"/>
    <w:rsid w:val="00927494"/>
    <w:rsid w:val="009346D8"/>
    <w:rsid w:val="0093648B"/>
    <w:rsid w:val="0094095D"/>
    <w:rsid w:val="009412B4"/>
    <w:rsid w:val="00946DEC"/>
    <w:rsid w:val="009579C0"/>
    <w:rsid w:val="00971E20"/>
    <w:rsid w:val="009747D0"/>
    <w:rsid w:val="009827AC"/>
    <w:rsid w:val="009828EE"/>
    <w:rsid w:val="009830C2"/>
    <w:rsid w:val="0099028E"/>
    <w:rsid w:val="009A01FF"/>
    <w:rsid w:val="009A3817"/>
    <w:rsid w:val="009C283E"/>
    <w:rsid w:val="009C3AC2"/>
    <w:rsid w:val="009C4241"/>
    <w:rsid w:val="009E660D"/>
    <w:rsid w:val="009F6BF7"/>
    <w:rsid w:val="00A00691"/>
    <w:rsid w:val="00A02037"/>
    <w:rsid w:val="00A0760C"/>
    <w:rsid w:val="00A20C86"/>
    <w:rsid w:val="00A317D6"/>
    <w:rsid w:val="00A42E44"/>
    <w:rsid w:val="00A620A0"/>
    <w:rsid w:val="00A9207E"/>
    <w:rsid w:val="00AA276D"/>
    <w:rsid w:val="00AA7103"/>
    <w:rsid w:val="00AB13F8"/>
    <w:rsid w:val="00AD5FD5"/>
    <w:rsid w:val="00AE5015"/>
    <w:rsid w:val="00AF3695"/>
    <w:rsid w:val="00B07092"/>
    <w:rsid w:val="00B12674"/>
    <w:rsid w:val="00B21A0F"/>
    <w:rsid w:val="00B35EA4"/>
    <w:rsid w:val="00B410C9"/>
    <w:rsid w:val="00B50A36"/>
    <w:rsid w:val="00B555EB"/>
    <w:rsid w:val="00B60378"/>
    <w:rsid w:val="00B83F03"/>
    <w:rsid w:val="00B84F68"/>
    <w:rsid w:val="00B919B8"/>
    <w:rsid w:val="00B91A33"/>
    <w:rsid w:val="00B92A4B"/>
    <w:rsid w:val="00B930C2"/>
    <w:rsid w:val="00B9554E"/>
    <w:rsid w:val="00B955FF"/>
    <w:rsid w:val="00BA4B8D"/>
    <w:rsid w:val="00BB6BF9"/>
    <w:rsid w:val="00BC0551"/>
    <w:rsid w:val="00BC4C82"/>
    <w:rsid w:val="00BC651D"/>
    <w:rsid w:val="00BD077E"/>
    <w:rsid w:val="00BD3CA0"/>
    <w:rsid w:val="00BD45F2"/>
    <w:rsid w:val="00BF3F0F"/>
    <w:rsid w:val="00C50F83"/>
    <w:rsid w:val="00C536A1"/>
    <w:rsid w:val="00C6417B"/>
    <w:rsid w:val="00C73E6D"/>
    <w:rsid w:val="00C76ED0"/>
    <w:rsid w:val="00CA00BC"/>
    <w:rsid w:val="00CB2378"/>
    <w:rsid w:val="00CB2B65"/>
    <w:rsid w:val="00CB7502"/>
    <w:rsid w:val="00CC0204"/>
    <w:rsid w:val="00CC2060"/>
    <w:rsid w:val="00CC2E8A"/>
    <w:rsid w:val="00CC5DA4"/>
    <w:rsid w:val="00CD156E"/>
    <w:rsid w:val="00CD2143"/>
    <w:rsid w:val="00CE50D7"/>
    <w:rsid w:val="00CE5612"/>
    <w:rsid w:val="00CF133F"/>
    <w:rsid w:val="00CF66D6"/>
    <w:rsid w:val="00CF6CF3"/>
    <w:rsid w:val="00D01BD9"/>
    <w:rsid w:val="00D1631E"/>
    <w:rsid w:val="00D16691"/>
    <w:rsid w:val="00D17C92"/>
    <w:rsid w:val="00D21829"/>
    <w:rsid w:val="00D41C0F"/>
    <w:rsid w:val="00D46AE7"/>
    <w:rsid w:val="00D56A97"/>
    <w:rsid w:val="00D67772"/>
    <w:rsid w:val="00D70409"/>
    <w:rsid w:val="00D800D5"/>
    <w:rsid w:val="00D9581A"/>
    <w:rsid w:val="00DA2C72"/>
    <w:rsid w:val="00DA37CC"/>
    <w:rsid w:val="00DA6D32"/>
    <w:rsid w:val="00DB1CA8"/>
    <w:rsid w:val="00DC7AF6"/>
    <w:rsid w:val="00DC7EC3"/>
    <w:rsid w:val="00DD729B"/>
    <w:rsid w:val="00DD7D97"/>
    <w:rsid w:val="00DE0203"/>
    <w:rsid w:val="00DF7260"/>
    <w:rsid w:val="00DF75C3"/>
    <w:rsid w:val="00E157BE"/>
    <w:rsid w:val="00E20A74"/>
    <w:rsid w:val="00E317CB"/>
    <w:rsid w:val="00E40F7B"/>
    <w:rsid w:val="00E533AE"/>
    <w:rsid w:val="00E56550"/>
    <w:rsid w:val="00E81155"/>
    <w:rsid w:val="00E86D4E"/>
    <w:rsid w:val="00E91BAE"/>
    <w:rsid w:val="00E91D73"/>
    <w:rsid w:val="00EC55E3"/>
    <w:rsid w:val="00EC776F"/>
    <w:rsid w:val="00EF1D22"/>
    <w:rsid w:val="00EF6DE0"/>
    <w:rsid w:val="00F06F11"/>
    <w:rsid w:val="00F228C9"/>
    <w:rsid w:val="00F25E6C"/>
    <w:rsid w:val="00F41308"/>
    <w:rsid w:val="00F473EE"/>
    <w:rsid w:val="00F5185F"/>
    <w:rsid w:val="00F73EF8"/>
    <w:rsid w:val="00F85843"/>
    <w:rsid w:val="00F90914"/>
    <w:rsid w:val="00F93DC4"/>
    <w:rsid w:val="00FA4986"/>
    <w:rsid w:val="00FA5181"/>
    <w:rsid w:val="00FA652A"/>
    <w:rsid w:val="00FA6AFA"/>
    <w:rsid w:val="00FA6CF0"/>
    <w:rsid w:val="00FB0E0F"/>
    <w:rsid w:val="00FB2B1C"/>
    <w:rsid w:val="00FC5C69"/>
    <w:rsid w:val="00FD17A1"/>
    <w:rsid w:val="00FD33DA"/>
    <w:rsid w:val="00FD3D60"/>
    <w:rsid w:val="00FD646A"/>
    <w:rsid w:val="00FE0D6D"/>
    <w:rsid w:val="00FF5C20"/>
    <w:rsid w:val="00FF6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header" w:uiPriority="0"/>
    <w:lsdException w:name="foot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0CB"/>
    <w:pPr>
      <w:spacing w:after="200" w:line="276" w:lineRule="auto"/>
    </w:pPr>
    <w:rPr>
      <w:rFonts w:cs="Calibri"/>
      <w:lang w:val="en-GB"/>
    </w:rPr>
  </w:style>
  <w:style w:type="paragraph" w:styleId="Heading1">
    <w:name w:val="heading 1"/>
    <w:basedOn w:val="Normal"/>
    <w:next w:val="Normal"/>
    <w:link w:val="Heading1Char"/>
    <w:uiPriority w:val="99"/>
    <w:qFormat/>
    <w:rsid w:val="004D10CB"/>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
    <w:qFormat/>
    <w:rsid w:val="004D10CB"/>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
    <w:qFormat/>
    <w:rsid w:val="004D10CB"/>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
    <w:qFormat/>
    <w:rsid w:val="004D10CB"/>
    <w:pPr>
      <w:keepNext/>
      <w:keepLines/>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4D10CB"/>
    <w:pPr>
      <w:keepNext/>
      <w:keepLines/>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4D10CB"/>
    <w:pPr>
      <w:keepNext/>
      <w:keepLines/>
      <w:spacing w:before="200" w:after="0"/>
      <w:outlineLvl w:val="5"/>
    </w:pPr>
    <w:rPr>
      <w:rFonts w:ascii="Cambria" w:eastAsia="Times New Roman" w:hAnsi="Cambria" w:cs="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10CB"/>
    <w:rPr>
      <w:rFonts w:ascii="Cambria" w:hAnsi="Cambria" w:cs="Cambria"/>
      <w:b/>
      <w:bCs/>
      <w:color w:val="365F91"/>
      <w:sz w:val="28"/>
      <w:szCs w:val="28"/>
      <w:lang w:val="en-GB"/>
    </w:rPr>
  </w:style>
  <w:style w:type="character" w:customStyle="1" w:styleId="Heading2Char">
    <w:name w:val="Heading 2 Char"/>
    <w:basedOn w:val="DefaultParagraphFont"/>
    <w:link w:val="Heading2"/>
    <w:uiPriority w:val="9"/>
    <w:locked/>
    <w:rsid w:val="004D10CB"/>
    <w:rPr>
      <w:rFonts w:ascii="Cambria" w:hAnsi="Cambria" w:cs="Cambria"/>
      <w:b/>
      <w:bCs/>
      <w:color w:val="4F81BD"/>
      <w:sz w:val="26"/>
      <w:szCs w:val="26"/>
      <w:lang w:val="en-GB"/>
    </w:rPr>
  </w:style>
  <w:style w:type="character" w:customStyle="1" w:styleId="Heading3Char">
    <w:name w:val="Heading 3 Char"/>
    <w:basedOn w:val="DefaultParagraphFont"/>
    <w:link w:val="Heading3"/>
    <w:uiPriority w:val="9"/>
    <w:locked/>
    <w:rsid w:val="004D10CB"/>
    <w:rPr>
      <w:rFonts w:ascii="Cambria" w:hAnsi="Cambria" w:cs="Cambria"/>
      <w:b/>
      <w:bCs/>
      <w:color w:val="4F81BD"/>
      <w:lang w:val="en-GB"/>
    </w:rPr>
  </w:style>
  <w:style w:type="character" w:customStyle="1" w:styleId="Heading4Char">
    <w:name w:val="Heading 4 Char"/>
    <w:basedOn w:val="DefaultParagraphFont"/>
    <w:link w:val="Heading4"/>
    <w:uiPriority w:val="9"/>
    <w:locked/>
    <w:rsid w:val="004D10CB"/>
    <w:rPr>
      <w:rFonts w:ascii="Cambria" w:hAnsi="Cambria" w:cs="Cambria"/>
      <w:b/>
      <w:bCs/>
      <w:i/>
      <w:iCs/>
      <w:color w:val="4F81BD"/>
      <w:lang w:val="en-GB"/>
    </w:rPr>
  </w:style>
  <w:style w:type="character" w:customStyle="1" w:styleId="Heading5Char">
    <w:name w:val="Heading 5 Char"/>
    <w:basedOn w:val="DefaultParagraphFont"/>
    <w:link w:val="Heading5"/>
    <w:uiPriority w:val="99"/>
    <w:locked/>
    <w:rsid w:val="004D10CB"/>
    <w:rPr>
      <w:rFonts w:ascii="Cambria" w:hAnsi="Cambria" w:cs="Cambria"/>
      <w:color w:val="243F60"/>
      <w:lang w:val="en-GB"/>
    </w:rPr>
  </w:style>
  <w:style w:type="character" w:customStyle="1" w:styleId="Heading6Char">
    <w:name w:val="Heading 6 Char"/>
    <w:basedOn w:val="DefaultParagraphFont"/>
    <w:link w:val="Heading6"/>
    <w:uiPriority w:val="99"/>
    <w:locked/>
    <w:rsid w:val="004D10CB"/>
    <w:rPr>
      <w:rFonts w:ascii="Cambria" w:hAnsi="Cambria" w:cs="Cambria"/>
      <w:i/>
      <w:iCs/>
      <w:color w:val="243F60"/>
      <w:lang w:val="en-GB"/>
    </w:rPr>
  </w:style>
  <w:style w:type="paragraph" w:styleId="BalloonText">
    <w:name w:val="Balloon Text"/>
    <w:basedOn w:val="Normal"/>
    <w:link w:val="BalloonTextChar2"/>
    <w:uiPriority w:val="99"/>
    <w:semiHidden/>
    <w:rsid w:val="004D10CB"/>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locked/>
    <w:rsid w:val="00E317CB"/>
    <w:rPr>
      <w:rFonts w:ascii="Lucida Grande" w:hAnsi="Lucida Grande" w:cs="Lucida Grande"/>
      <w:sz w:val="18"/>
      <w:szCs w:val="18"/>
    </w:rPr>
  </w:style>
  <w:style w:type="character" w:customStyle="1" w:styleId="BalloonTextChar3">
    <w:name w:val="Balloon Text Char3"/>
    <w:basedOn w:val="DefaultParagraphFont"/>
    <w:uiPriority w:val="99"/>
    <w:semiHidden/>
    <w:locked/>
    <w:rsid w:val="004D10CB"/>
    <w:rPr>
      <w:rFonts w:ascii="Lucida Grande" w:hAnsi="Lucida Grande" w:cs="Lucida Grande"/>
      <w:sz w:val="18"/>
      <w:szCs w:val="18"/>
    </w:rPr>
  </w:style>
  <w:style w:type="paragraph" w:customStyle="1" w:styleId="ColorfulList-Accent11">
    <w:name w:val="Colorful List - Accent 11"/>
    <w:basedOn w:val="Normal"/>
    <w:uiPriority w:val="99"/>
    <w:rsid w:val="00493BA2"/>
    <w:pPr>
      <w:ind w:left="720"/>
    </w:pPr>
  </w:style>
  <w:style w:type="paragraph" w:styleId="Header">
    <w:name w:val="header"/>
    <w:basedOn w:val="Normal"/>
    <w:link w:val="HeaderChar"/>
    <w:rsid w:val="004D10CB"/>
    <w:pPr>
      <w:tabs>
        <w:tab w:val="center" w:pos="4680"/>
        <w:tab w:val="right" w:pos="9360"/>
      </w:tabs>
      <w:spacing w:after="0" w:line="240" w:lineRule="auto"/>
    </w:pPr>
  </w:style>
  <w:style w:type="character" w:customStyle="1" w:styleId="HeaderChar">
    <w:name w:val="Header Char"/>
    <w:basedOn w:val="DefaultParagraphFont"/>
    <w:link w:val="Header"/>
    <w:locked/>
    <w:rsid w:val="004D10CB"/>
    <w:rPr>
      <w:lang w:val="en-GB"/>
    </w:rPr>
  </w:style>
  <w:style w:type="paragraph" w:styleId="Footer">
    <w:name w:val="footer"/>
    <w:basedOn w:val="Normal"/>
    <w:link w:val="FooterChar"/>
    <w:rsid w:val="004D10CB"/>
    <w:pPr>
      <w:tabs>
        <w:tab w:val="center" w:pos="4680"/>
        <w:tab w:val="right" w:pos="9360"/>
      </w:tabs>
      <w:spacing w:after="0" w:line="240" w:lineRule="auto"/>
    </w:pPr>
  </w:style>
  <w:style w:type="character" w:customStyle="1" w:styleId="FooterChar">
    <w:name w:val="Footer Char"/>
    <w:basedOn w:val="DefaultParagraphFont"/>
    <w:link w:val="Footer"/>
    <w:locked/>
    <w:rsid w:val="004D10CB"/>
    <w:rPr>
      <w:lang w:val="en-GB"/>
    </w:rPr>
  </w:style>
  <w:style w:type="character" w:styleId="PageNumber">
    <w:name w:val="page number"/>
    <w:basedOn w:val="DefaultParagraphFont"/>
    <w:uiPriority w:val="99"/>
    <w:rsid w:val="004D10CB"/>
  </w:style>
  <w:style w:type="character" w:styleId="Emphasis">
    <w:name w:val="Emphasis"/>
    <w:basedOn w:val="DefaultParagraphFont"/>
    <w:uiPriority w:val="99"/>
    <w:qFormat/>
    <w:rsid w:val="004D10CB"/>
    <w:rPr>
      <w:i/>
      <w:iCs/>
    </w:rPr>
  </w:style>
  <w:style w:type="character" w:customStyle="1" w:styleId="st">
    <w:name w:val="st"/>
    <w:basedOn w:val="DefaultParagraphFont"/>
    <w:uiPriority w:val="99"/>
    <w:rsid w:val="004D10CB"/>
  </w:style>
  <w:style w:type="character" w:styleId="Hyperlink">
    <w:name w:val="Hyperlink"/>
    <w:basedOn w:val="DefaultParagraphFont"/>
    <w:uiPriority w:val="99"/>
    <w:rsid w:val="004D10CB"/>
    <w:rPr>
      <w:color w:val="0000FF"/>
      <w:u w:val="single"/>
    </w:rPr>
  </w:style>
  <w:style w:type="paragraph" w:styleId="FootnoteText">
    <w:name w:val="footnote text"/>
    <w:aliases w:val="Footnote Text Char1 Char,ft Char Char,Geneva 9 Char Char,Font: Geneva 9 Char Char,Boston 10 Char Char,f Char Char,Текст сноски Знак1 Char Char,Текст сноски Знак1 Char Char Char Char Char Char Char Char,ft Char1,f Char1,f,single space,fn"/>
    <w:basedOn w:val="Normal"/>
    <w:link w:val="FootnoteTextChar2"/>
    <w:uiPriority w:val="99"/>
    <w:semiHidden/>
    <w:rsid w:val="004D10CB"/>
    <w:pPr>
      <w:spacing w:after="0" w:line="240" w:lineRule="auto"/>
    </w:pPr>
    <w:rPr>
      <w:rFonts w:eastAsia="Times New Roman"/>
      <w:sz w:val="20"/>
      <w:szCs w:val="20"/>
      <w:lang w:val="ro-RO" w:eastAsia="ro-RO"/>
    </w:rPr>
  </w:style>
  <w:style w:type="character" w:customStyle="1" w:styleId="FootnoteTextChar">
    <w:name w:val="Footnote Text Char"/>
    <w:aliases w:val="Footnote Text Char1 Char Char,ft Char Char Char,Geneva 9 Char Char Char,Font: Geneva 9 Char Char Char,Boston 10 Char Char Char,f Char Char Char,Текст сноски Знак1 Char Char Char,ft Char1 Char,f Char1 Char,f Char,single space Char"/>
    <w:basedOn w:val="DefaultParagraphFont"/>
    <w:uiPriority w:val="99"/>
    <w:locked/>
    <w:rsid w:val="004D10CB"/>
    <w:rPr>
      <w:sz w:val="20"/>
      <w:szCs w:val="20"/>
      <w:lang w:val="en-GB"/>
    </w:rPr>
  </w:style>
  <w:style w:type="character" w:customStyle="1" w:styleId="FootnoteTextChar2">
    <w:name w:val="Footnote Text Char2"/>
    <w:aliases w:val="Footnote Text Char1 Char Char1,ft Char Char Char1,Geneva 9 Char Char Char1,Font: Geneva 9 Char Char Char1,Boston 10 Char Char Char1,f Char Char Char1,Текст сноски Знак1 Char Char Char1,ft Char1 Char1,f Char1 Char1,f Char2,fn Char"/>
    <w:basedOn w:val="DefaultParagraphFont"/>
    <w:link w:val="FootnoteText"/>
    <w:uiPriority w:val="99"/>
    <w:locked/>
    <w:rsid w:val="004D10CB"/>
    <w:rPr>
      <w:rFonts w:eastAsia="Times New Roman"/>
      <w:lang w:val="ro-RO" w:eastAsia="ro-RO"/>
    </w:rPr>
  </w:style>
  <w:style w:type="character" w:styleId="FootnoteReference">
    <w:name w:val="footnote reference"/>
    <w:aliases w:val="ftref,Footnotes refss,Fussnota,Footnote symbol,Footnote reference number,Times 10 Point,Exposant 3 Point,EN Footnote Reference,note TESI,Footnote Reference Superscript,Zchn Zchn,Footnote number,Footnote Reference Number,BVI fnr,o,R"/>
    <w:basedOn w:val="DefaultParagraphFont"/>
    <w:uiPriority w:val="99"/>
    <w:semiHidden/>
    <w:rsid w:val="004D10CB"/>
    <w:rPr>
      <w:vertAlign w:val="superscript"/>
    </w:rPr>
  </w:style>
  <w:style w:type="paragraph" w:styleId="NormalWeb">
    <w:name w:val="Normal (Web)"/>
    <w:basedOn w:val="Normal"/>
    <w:uiPriority w:val="99"/>
    <w:rsid w:val="004D10C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uiPriority w:val="99"/>
    <w:rsid w:val="004D10CB"/>
    <w:pPr>
      <w:spacing w:after="200" w:line="276" w:lineRule="auto"/>
    </w:pPr>
    <w:rPr>
      <w:rFonts w:ascii="Arial" w:eastAsia="Times New Roman" w:hAnsi="Arial" w:cs="Arial"/>
      <w:color w:val="000000"/>
    </w:rPr>
  </w:style>
  <w:style w:type="paragraph" w:styleId="BodyTextIndent">
    <w:name w:val="Body Text Indent"/>
    <w:basedOn w:val="Normal"/>
    <w:link w:val="BodyTextIndentChar"/>
    <w:uiPriority w:val="99"/>
    <w:semiHidden/>
    <w:rsid w:val="004D10CB"/>
    <w:pPr>
      <w:spacing w:after="120" w:line="240" w:lineRule="auto"/>
      <w:ind w:left="283"/>
    </w:pPr>
    <w:rPr>
      <w:rFonts w:ascii="Arial" w:eastAsia="Times New Roman" w:hAnsi="Arial" w:cs="Arial"/>
      <w:noProof/>
      <w:sz w:val="24"/>
      <w:szCs w:val="24"/>
      <w:lang w:val="ro-RO"/>
    </w:rPr>
  </w:style>
  <w:style w:type="character" w:customStyle="1" w:styleId="BodyTextIndentChar">
    <w:name w:val="Body Text Indent Char"/>
    <w:basedOn w:val="DefaultParagraphFont"/>
    <w:link w:val="BodyTextIndent"/>
    <w:uiPriority w:val="99"/>
    <w:semiHidden/>
    <w:locked/>
    <w:rsid w:val="004D10CB"/>
    <w:rPr>
      <w:rFonts w:ascii="Arial" w:hAnsi="Arial" w:cs="Arial"/>
      <w:noProof/>
      <w:sz w:val="24"/>
      <w:szCs w:val="24"/>
      <w:lang w:val="ro-RO"/>
    </w:rPr>
  </w:style>
  <w:style w:type="paragraph" w:customStyle="1" w:styleId="Normal10">
    <w:name w:val="Normal1"/>
    <w:uiPriority w:val="99"/>
    <w:rsid w:val="004D10CB"/>
    <w:pPr>
      <w:spacing w:after="200" w:line="276" w:lineRule="auto"/>
    </w:pPr>
    <w:rPr>
      <w:rFonts w:ascii="Arial" w:eastAsia="Times New Roman" w:hAnsi="Arial" w:cs="Arial"/>
      <w:color w:val="000000"/>
    </w:rPr>
  </w:style>
  <w:style w:type="character" w:customStyle="1" w:styleId="BalloonTextChar2">
    <w:name w:val="Balloon Text Char2"/>
    <w:basedOn w:val="DefaultParagraphFont"/>
    <w:link w:val="BalloonText"/>
    <w:uiPriority w:val="99"/>
    <w:semiHidden/>
    <w:locked/>
    <w:rsid w:val="004D10CB"/>
    <w:rPr>
      <w:rFonts w:ascii="Tahoma" w:hAnsi="Tahoma" w:cs="Tahoma"/>
      <w:sz w:val="16"/>
      <w:szCs w:val="16"/>
      <w:lang w:val="en-GB"/>
    </w:rPr>
  </w:style>
  <w:style w:type="character" w:customStyle="1" w:styleId="BalloonTextChar1">
    <w:name w:val="Balloon Text Char1"/>
    <w:basedOn w:val="DefaultParagraphFont"/>
    <w:uiPriority w:val="99"/>
    <w:semiHidden/>
    <w:rsid w:val="004D10CB"/>
    <w:rPr>
      <w:rFonts w:ascii="Lucida Grande" w:hAnsi="Lucida Grande" w:cs="Lucida Grande"/>
      <w:sz w:val="18"/>
      <w:szCs w:val="18"/>
    </w:rPr>
  </w:style>
  <w:style w:type="character" w:styleId="Strong">
    <w:name w:val="Strong"/>
    <w:basedOn w:val="DefaultParagraphFont"/>
    <w:uiPriority w:val="99"/>
    <w:qFormat/>
    <w:rsid w:val="004D10CB"/>
    <w:rPr>
      <w:b/>
      <w:bCs/>
    </w:rPr>
  </w:style>
  <w:style w:type="character" w:customStyle="1" w:styleId="apple-converted-space">
    <w:name w:val="apple-converted-space"/>
    <w:basedOn w:val="DefaultParagraphFont"/>
    <w:uiPriority w:val="99"/>
    <w:rsid w:val="004D10CB"/>
  </w:style>
  <w:style w:type="character" w:styleId="FollowedHyperlink">
    <w:name w:val="FollowedHyperlink"/>
    <w:basedOn w:val="DefaultParagraphFont"/>
    <w:uiPriority w:val="99"/>
    <w:semiHidden/>
    <w:rsid w:val="004D10CB"/>
    <w:rPr>
      <w:color w:val="800080"/>
      <w:u w:val="single"/>
    </w:rPr>
  </w:style>
  <w:style w:type="paragraph" w:customStyle="1" w:styleId="Default">
    <w:name w:val="Default"/>
    <w:uiPriority w:val="99"/>
    <w:rsid w:val="004D10CB"/>
    <w:pPr>
      <w:widowControl w:val="0"/>
      <w:autoSpaceDE w:val="0"/>
      <w:autoSpaceDN w:val="0"/>
      <w:adjustRightInd w:val="0"/>
      <w:spacing w:after="200" w:line="276" w:lineRule="auto"/>
    </w:pPr>
    <w:rPr>
      <w:rFonts w:cs="Calibri"/>
      <w:color w:val="000000"/>
      <w:sz w:val="24"/>
      <w:szCs w:val="24"/>
    </w:rPr>
  </w:style>
  <w:style w:type="character" w:customStyle="1" w:styleId="FootnoteTextChar1">
    <w:name w:val="Footnote Text Char1"/>
    <w:aliases w:val="Footnote Text Char1 Char Char2,ft Char Char Char2,Geneva 9 Char Char Char2,Font: Geneva 9 Char Char Char2,Boston 10 Char Char Char2,f Char Char Char2,Текст сноски Знак1 Char Char Char2,ft Char1 Char2,f Char1 Char2,f Char3"/>
    <w:uiPriority w:val="99"/>
    <w:rsid w:val="004D10CB"/>
    <w:rPr>
      <w:rFonts w:ascii="Arial" w:eastAsia="MS Mincho" w:hAnsi="Arial" w:cs="Arial"/>
      <w:sz w:val="18"/>
      <w:szCs w:val="18"/>
      <w:lang w:val="ro-RO" w:eastAsia="ja-JP"/>
    </w:rPr>
  </w:style>
  <w:style w:type="paragraph" w:styleId="Caption">
    <w:name w:val="caption"/>
    <w:basedOn w:val="Normal"/>
    <w:next w:val="Normal"/>
    <w:uiPriority w:val="99"/>
    <w:qFormat/>
    <w:rsid w:val="004D10CB"/>
    <w:pPr>
      <w:spacing w:line="240" w:lineRule="auto"/>
    </w:pPr>
    <w:rPr>
      <w:b/>
      <w:bCs/>
      <w:color w:val="4F81BD"/>
      <w:sz w:val="18"/>
      <w:szCs w:val="18"/>
    </w:rPr>
  </w:style>
  <w:style w:type="paragraph" w:styleId="TOC1">
    <w:name w:val="toc 1"/>
    <w:basedOn w:val="Normal"/>
    <w:next w:val="Normal"/>
    <w:autoRedefine/>
    <w:uiPriority w:val="39"/>
    <w:locked/>
    <w:rsid w:val="004D10CB"/>
    <w:pPr>
      <w:spacing w:before="360" w:after="0"/>
    </w:pPr>
    <w:rPr>
      <w:rFonts w:ascii="Cambria" w:hAnsi="Cambria" w:cs="Cambria"/>
      <w:b/>
      <w:bCs/>
      <w:caps/>
      <w:sz w:val="24"/>
      <w:szCs w:val="24"/>
      <w:lang w:val="en-US"/>
    </w:rPr>
  </w:style>
  <w:style w:type="paragraph" w:styleId="TOC2">
    <w:name w:val="toc 2"/>
    <w:basedOn w:val="Normal"/>
    <w:next w:val="Normal"/>
    <w:autoRedefine/>
    <w:uiPriority w:val="39"/>
    <w:locked/>
    <w:rsid w:val="004D10CB"/>
    <w:pPr>
      <w:spacing w:before="240" w:after="0"/>
    </w:pPr>
    <w:rPr>
      <w:b/>
      <w:bCs/>
      <w:sz w:val="20"/>
      <w:szCs w:val="20"/>
      <w:lang w:val="en-US"/>
    </w:rPr>
  </w:style>
  <w:style w:type="paragraph" w:styleId="TOC3">
    <w:name w:val="toc 3"/>
    <w:basedOn w:val="Normal"/>
    <w:next w:val="Normal"/>
    <w:autoRedefine/>
    <w:uiPriority w:val="39"/>
    <w:locked/>
    <w:rsid w:val="004D10CB"/>
    <w:pPr>
      <w:spacing w:after="0"/>
      <w:ind w:left="220"/>
    </w:pPr>
    <w:rPr>
      <w:sz w:val="20"/>
      <w:szCs w:val="20"/>
      <w:lang w:val="en-US"/>
    </w:rPr>
  </w:style>
  <w:style w:type="paragraph" w:styleId="TOC4">
    <w:name w:val="toc 4"/>
    <w:basedOn w:val="Normal"/>
    <w:next w:val="Normal"/>
    <w:autoRedefine/>
    <w:uiPriority w:val="39"/>
    <w:semiHidden/>
    <w:locked/>
    <w:rsid w:val="004D10CB"/>
    <w:pPr>
      <w:spacing w:after="0"/>
      <w:ind w:left="440"/>
    </w:pPr>
    <w:rPr>
      <w:sz w:val="20"/>
      <w:szCs w:val="20"/>
      <w:lang w:val="en-US"/>
    </w:rPr>
  </w:style>
  <w:style w:type="paragraph" w:styleId="TOC5">
    <w:name w:val="toc 5"/>
    <w:basedOn w:val="Normal"/>
    <w:next w:val="Normal"/>
    <w:autoRedefine/>
    <w:uiPriority w:val="39"/>
    <w:semiHidden/>
    <w:locked/>
    <w:rsid w:val="004D10CB"/>
    <w:pPr>
      <w:spacing w:after="0"/>
      <w:ind w:left="660"/>
    </w:pPr>
    <w:rPr>
      <w:sz w:val="20"/>
      <w:szCs w:val="20"/>
      <w:lang w:val="en-US"/>
    </w:rPr>
  </w:style>
  <w:style w:type="paragraph" w:styleId="TOC6">
    <w:name w:val="toc 6"/>
    <w:basedOn w:val="Normal"/>
    <w:next w:val="Normal"/>
    <w:autoRedefine/>
    <w:uiPriority w:val="39"/>
    <w:semiHidden/>
    <w:locked/>
    <w:rsid w:val="004D10CB"/>
    <w:pPr>
      <w:spacing w:after="0"/>
      <w:ind w:left="880"/>
    </w:pPr>
    <w:rPr>
      <w:sz w:val="20"/>
      <w:szCs w:val="20"/>
      <w:lang w:val="en-US"/>
    </w:rPr>
  </w:style>
  <w:style w:type="paragraph" w:styleId="TOC7">
    <w:name w:val="toc 7"/>
    <w:basedOn w:val="Normal"/>
    <w:next w:val="Normal"/>
    <w:autoRedefine/>
    <w:uiPriority w:val="39"/>
    <w:semiHidden/>
    <w:locked/>
    <w:rsid w:val="004D10CB"/>
    <w:pPr>
      <w:spacing w:after="0"/>
      <w:ind w:left="1100"/>
    </w:pPr>
    <w:rPr>
      <w:sz w:val="20"/>
      <w:szCs w:val="20"/>
      <w:lang w:val="en-US"/>
    </w:rPr>
  </w:style>
  <w:style w:type="paragraph" w:styleId="TOC8">
    <w:name w:val="toc 8"/>
    <w:basedOn w:val="Normal"/>
    <w:next w:val="Normal"/>
    <w:autoRedefine/>
    <w:uiPriority w:val="39"/>
    <w:semiHidden/>
    <w:locked/>
    <w:rsid w:val="004D10CB"/>
    <w:pPr>
      <w:spacing w:after="0"/>
      <w:ind w:left="1320"/>
    </w:pPr>
    <w:rPr>
      <w:sz w:val="20"/>
      <w:szCs w:val="20"/>
      <w:lang w:val="en-US"/>
    </w:rPr>
  </w:style>
  <w:style w:type="paragraph" w:styleId="TOC9">
    <w:name w:val="toc 9"/>
    <w:basedOn w:val="Normal"/>
    <w:next w:val="Normal"/>
    <w:autoRedefine/>
    <w:uiPriority w:val="39"/>
    <w:semiHidden/>
    <w:locked/>
    <w:rsid w:val="004D10CB"/>
    <w:pPr>
      <w:spacing w:after="0"/>
      <w:ind w:left="1540"/>
    </w:pPr>
    <w:rPr>
      <w:sz w:val="20"/>
      <w:szCs w:val="20"/>
      <w:lang w:val="en-US"/>
    </w:rPr>
  </w:style>
  <w:style w:type="character" w:styleId="CommentReference">
    <w:name w:val="annotation reference"/>
    <w:basedOn w:val="DefaultParagraphFont"/>
    <w:uiPriority w:val="99"/>
    <w:semiHidden/>
    <w:rsid w:val="004D10CB"/>
    <w:rPr>
      <w:sz w:val="16"/>
      <w:szCs w:val="16"/>
    </w:rPr>
  </w:style>
  <w:style w:type="paragraph" w:styleId="CommentText">
    <w:name w:val="annotation text"/>
    <w:basedOn w:val="Normal"/>
    <w:link w:val="CommentTextChar"/>
    <w:uiPriority w:val="99"/>
    <w:semiHidden/>
    <w:rsid w:val="004D10CB"/>
    <w:pPr>
      <w:spacing w:line="240" w:lineRule="auto"/>
    </w:pPr>
    <w:rPr>
      <w:sz w:val="20"/>
      <w:szCs w:val="20"/>
      <w:lang w:val="en-US"/>
    </w:rPr>
  </w:style>
  <w:style w:type="character" w:customStyle="1" w:styleId="CommentTextChar">
    <w:name w:val="Comment Text Char"/>
    <w:basedOn w:val="DefaultParagraphFont"/>
    <w:link w:val="CommentText"/>
    <w:uiPriority w:val="99"/>
    <w:locked/>
    <w:rsid w:val="004D10CB"/>
    <w:rPr>
      <w:rFonts w:ascii="Calibri" w:hAnsi="Calibri" w:cs="Calibri"/>
    </w:rPr>
  </w:style>
  <w:style w:type="paragraph" w:styleId="CommentSubject">
    <w:name w:val="annotation subject"/>
    <w:basedOn w:val="CommentText"/>
    <w:next w:val="CommentText"/>
    <w:link w:val="CommentSubjectChar"/>
    <w:uiPriority w:val="99"/>
    <w:semiHidden/>
    <w:rsid w:val="004D10CB"/>
    <w:rPr>
      <w:b/>
      <w:bCs/>
    </w:rPr>
  </w:style>
  <w:style w:type="character" w:customStyle="1" w:styleId="CommentSubjectChar">
    <w:name w:val="Comment Subject Char"/>
    <w:basedOn w:val="CommentTextChar"/>
    <w:link w:val="CommentSubject"/>
    <w:uiPriority w:val="99"/>
    <w:locked/>
    <w:rsid w:val="004D10CB"/>
    <w:rPr>
      <w:rFonts w:ascii="Calibri" w:hAnsi="Calibri" w:cs="Calibri"/>
      <w:b/>
      <w:bCs/>
    </w:rPr>
  </w:style>
  <w:style w:type="paragraph" w:customStyle="1" w:styleId="ColorfulShading-Accent11">
    <w:name w:val="Colorful Shading - Accent 11"/>
    <w:hidden/>
    <w:uiPriority w:val="99"/>
    <w:semiHidden/>
    <w:rsid w:val="004D10CB"/>
    <w:pPr>
      <w:spacing w:after="200" w:line="276" w:lineRule="auto"/>
    </w:pPr>
    <w:rPr>
      <w:rFonts w:cs="Calibri"/>
      <w:lang w:val="en-GB"/>
    </w:rPr>
  </w:style>
  <w:style w:type="paragraph" w:styleId="Title">
    <w:name w:val="Title"/>
    <w:basedOn w:val="Normal"/>
    <w:next w:val="Normal"/>
    <w:link w:val="TitleChar"/>
    <w:uiPriority w:val="99"/>
    <w:qFormat/>
    <w:rsid w:val="004D10CB"/>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4D10CB"/>
    <w:rPr>
      <w:rFonts w:ascii="Cambria" w:hAnsi="Cambria" w:cs="Cambria"/>
      <w:color w:val="17365D"/>
      <w:spacing w:val="5"/>
      <w:kern w:val="28"/>
      <w:sz w:val="52"/>
      <w:szCs w:val="52"/>
      <w:lang w:val="en-GB"/>
    </w:rPr>
  </w:style>
  <w:style w:type="paragraph" w:styleId="DocumentMap">
    <w:name w:val="Document Map"/>
    <w:basedOn w:val="Normal"/>
    <w:link w:val="DocumentMapChar"/>
    <w:uiPriority w:val="99"/>
    <w:semiHidden/>
    <w:rsid w:val="004D10C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4D10CB"/>
    <w:rPr>
      <w:rFonts w:ascii="Tahoma" w:hAnsi="Tahoma" w:cs="Tahoma"/>
      <w:sz w:val="16"/>
      <w:szCs w:val="16"/>
      <w:lang w:val="en-GB"/>
    </w:rPr>
  </w:style>
  <w:style w:type="paragraph" w:customStyle="1" w:styleId="TOCHeading1">
    <w:name w:val="TOC Heading1"/>
    <w:basedOn w:val="Heading1"/>
    <w:next w:val="Normal"/>
    <w:uiPriority w:val="99"/>
    <w:rsid w:val="004D10CB"/>
    <w:pPr>
      <w:outlineLvl w:val="9"/>
    </w:pPr>
    <w:rPr>
      <w:lang w:val="en-US"/>
    </w:rPr>
  </w:style>
  <w:style w:type="paragraph" w:customStyle="1" w:styleId="ColorfulList-Accent111">
    <w:name w:val="Colorful List - Accent 111"/>
    <w:basedOn w:val="Normal"/>
    <w:uiPriority w:val="99"/>
    <w:rsid w:val="004D10CB"/>
    <w:pPr>
      <w:ind w:left="720"/>
    </w:pPr>
  </w:style>
  <w:style w:type="paragraph" w:styleId="ListParagraph">
    <w:name w:val="List Paragraph"/>
    <w:basedOn w:val="Normal"/>
    <w:uiPriority w:val="34"/>
    <w:qFormat/>
    <w:rsid w:val="0012607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header" w:uiPriority="0"/>
    <w:lsdException w:name="foot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0CB"/>
    <w:pPr>
      <w:spacing w:after="200" w:line="276" w:lineRule="auto"/>
    </w:pPr>
    <w:rPr>
      <w:rFonts w:cs="Calibri"/>
      <w:lang w:val="en-GB"/>
    </w:rPr>
  </w:style>
  <w:style w:type="paragraph" w:styleId="Heading1">
    <w:name w:val="heading 1"/>
    <w:basedOn w:val="Normal"/>
    <w:next w:val="Normal"/>
    <w:link w:val="Heading1Char"/>
    <w:uiPriority w:val="99"/>
    <w:qFormat/>
    <w:rsid w:val="004D10CB"/>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
    <w:qFormat/>
    <w:rsid w:val="004D10CB"/>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
    <w:qFormat/>
    <w:rsid w:val="004D10CB"/>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
    <w:qFormat/>
    <w:rsid w:val="004D10CB"/>
    <w:pPr>
      <w:keepNext/>
      <w:keepLines/>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4D10CB"/>
    <w:pPr>
      <w:keepNext/>
      <w:keepLines/>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4D10CB"/>
    <w:pPr>
      <w:keepNext/>
      <w:keepLines/>
      <w:spacing w:before="200" w:after="0"/>
      <w:outlineLvl w:val="5"/>
    </w:pPr>
    <w:rPr>
      <w:rFonts w:ascii="Cambria" w:eastAsia="Times New Roman" w:hAnsi="Cambria" w:cs="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10CB"/>
    <w:rPr>
      <w:rFonts w:ascii="Cambria" w:hAnsi="Cambria" w:cs="Cambria"/>
      <w:b/>
      <w:bCs/>
      <w:color w:val="365F91"/>
      <w:sz w:val="28"/>
      <w:szCs w:val="28"/>
      <w:lang w:val="en-GB"/>
    </w:rPr>
  </w:style>
  <w:style w:type="character" w:customStyle="1" w:styleId="Heading2Char">
    <w:name w:val="Heading 2 Char"/>
    <w:basedOn w:val="DefaultParagraphFont"/>
    <w:link w:val="Heading2"/>
    <w:uiPriority w:val="9"/>
    <w:locked/>
    <w:rsid w:val="004D10CB"/>
    <w:rPr>
      <w:rFonts w:ascii="Cambria" w:hAnsi="Cambria" w:cs="Cambria"/>
      <w:b/>
      <w:bCs/>
      <w:color w:val="4F81BD"/>
      <w:sz w:val="26"/>
      <w:szCs w:val="26"/>
      <w:lang w:val="en-GB"/>
    </w:rPr>
  </w:style>
  <w:style w:type="character" w:customStyle="1" w:styleId="Heading3Char">
    <w:name w:val="Heading 3 Char"/>
    <w:basedOn w:val="DefaultParagraphFont"/>
    <w:link w:val="Heading3"/>
    <w:uiPriority w:val="9"/>
    <w:locked/>
    <w:rsid w:val="004D10CB"/>
    <w:rPr>
      <w:rFonts w:ascii="Cambria" w:hAnsi="Cambria" w:cs="Cambria"/>
      <w:b/>
      <w:bCs/>
      <w:color w:val="4F81BD"/>
      <w:lang w:val="en-GB"/>
    </w:rPr>
  </w:style>
  <w:style w:type="character" w:customStyle="1" w:styleId="Heading4Char">
    <w:name w:val="Heading 4 Char"/>
    <w:basedOn w:val="DefaultParagraphFont"/>
    <w:link w:val="Heading4"/>
    <w:uiPriority w:val="9"/>
    <w:locked/>
    <w:rsid w:val="004D10CB"/>
    <w:rPr>
      <w:rFonts w:ascii="Cambria" w:hAnsi="Cambria" w:cs="Cambria"/>
      <w:b/>
      <w:bCs/>
      <w:i/>
      <w:iCs/>
      <w:color w:val="4F81BD"/>
      <w:lang w:val="en-GB"/>
    </w:rPr>
  </w:style>
  <w:style w:type="character" w:customStyle="1" w:styleId="Heading5Char">
    <w:name w:val="Heading 5 Char"/>
    <w:basedOn w:val="DefaultParagraphFont"/>
    <w:link w:val="Heading5"/>
    <w:uiPriority w:val="99"/>
    <w:locked/>
    <w:rsid w:val="004D10CB"/>
    <w:rPr>
      <w:rFonts w:ascii="Cambria" w:hAnsi="Cambria" w:cs="Cambria"/>
      <w:color w:val="243F60"/>
      <w:lang w:val="en-GB"/>
    </w:rPr>
  </w:style>
  <w:style w:type="character" w:customStyle="1" w:styleId="Heading6Char">
    <w:name w:val="Heading 6 Char"/>
    <w:basedOn w:val="DefaultParagraphFont"/>
    <w:link w:val="Heading6"/>
    <w:uiPriority w:val="99"/>
    <w:locked/>
    <w:rsid w:val="004D10CB"/>
    <w:rPr>
      <w:rFonts w:ascii="Cambria" w:hAnsi="Cambria" w:cs="Cambria"/>
      <w:i/>
      <w:iCs/>
      <w:color w:val="243F60"/>
      <w:lang w:val="en-GB"/>
    </w:rPr>
  </w:style>
  <w:style w:type="paragraph" w:styleId="BalloonText">
    <w:name w:val="Balloon Text"/>
    <w:basedOn w:val="Normal"/>
    <w:link w:val="BalloonTextChar2"/>
    <w:uiPriority w:val="99"/>
    <w:semiHidden/>
    <w:rsid w:val="004D10CB"/>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locked/>
    <w:rsid w:val="00E317CB"/>
    <w:rPr>
      <w:rFonts w:ascii="Lucida Grande" w:hAnsi="Lucida Grande" w:cs="Lucida Grande"/>
      <w:sz w:val="18"/>
      <w:szCs w:val="18"/>
    </w:rPr>
  </w:style>
  <w:style w:type="character" w:customStyle="1" w:styleId="BalloonTextChar3">
    <w:name w:val="Balloon Text Char3"/>
    <w:basedOn w:val="DefaultParagraphFont"/>
    <w:uiPriority w:val="99"/>
    <w:semiHidden/>
    <w:locked/>
    <w:rsid w:val="004D10CB"/>
    <w:rPr>
      <w:rFonts w:ascii="Lucida Grande" w:hAnsi="Lucida Grande" w:cs="Lucida Grande"/>
      <w:sz w:val="18"/>
      <w:szCs w:val="18"/>
    </w:rPr>
  </w:style>
  <w:style w:type="paragraph" w:customStyle="1" w:styleId="ColorfulList-Accent11">
    <w:name w:val="Colorful List - Accent 11"/>
    <w:basedOn w:val="Normal"/>
    <w:uiPriority w:val="99"/>
    <w:rsid w:val="00493BA2"/>
    <w:pPr>
      <w:ind w:left="720"/>
    </w:pPr>
  </w:style>
  <w:style w:type="paragraph" w:styleId="Header">
    <w:name w:val="header"/>
    <w:basedOn w:val="Normal"/>
    <w:link w:val="HeaderChar"/>
    <w:rsid w:val="004D10CB"/>
    <w:pPr>
      <w:tabs>
        <w:tab w:val="center" w:pos="4680"/>
        <w:tab w:val="right" w:pos="9360"/>
      </w:tabs>
      <w:spacing w:after="0" w:line="240" w:lineRule="auto"/>
    </w:pPr>
  </w:style>
  <w:style w:type="character" w:customStyle="1" w:styleId="HeaderChar">
    <w:name w:val="Header Char"/>
    <w:basedOn w:val="DefaultParagraphFont"/>
    <w:link w:val="Header"/>
    <w:locked/>
    <w:rsid w:val="004D10CB"/>
    <w:rPr>
      <w:lang w:val="en-GB"/>
    </w:rPr>
  </w:style>
  <w:style w:type="paragraph" w:styleId="Footer">
    <w:name w:val="footer"/>
    <w:basedOn w:val="Normal"/>
    <w:link w:val="FooterChar"/>
    <w:rsid w:val="004D10CB"/>
    <w:pPr>
      <w:tabs>
        <w:tab w:val="center" w:pos="4680"/>
        <w:tab w:val="right" w:pos="9360"/>
      </w:tabs>
      <w:spacing w:after="0" w:line="240" w:lineRule="auto"/>
    </w:pPr>
  </w:style>
  <w:style w:type="character" w:customStyle="1" w:styleId="FooterChar">
    <w:name w:val="Footer Char"/>
    <w:basedOn w:val="DefaultParagraphFont"/>
    <w:link w:val="Footer"/>
    <w:locked/>
    <w:rsid w:val="004D10CB"/>
    <w:rPr>
      <w:lang w:val="en-GB"/>
    </w:rPr>
  </w:style>
  <w:style w:type="character" w:styleId="PageNumber">
    <w:name w:val="page number"/>
    <w:basedOn w:val="DefaultParagraphFont"/>
    <w:uiPriority w:val="99"/>
    <w:rsid w:val="004D10CB"/>
  </w:style>
  <w:style w:type="character" w:styleId="Emphasis">
    <w:name w:val="Emphasis"/>
    <w:basedOn w:val="DefaultParagraphFont"/>
    <w:uiPriority w:val="99"/>
    <w:qFormat/>
    <w:rsid w:val="004D10CB"/>
    <w:rPr>
      <w:i/>
      <w:iCs/>
    </w:rPr>
  </w:style>
  <w:style w:type="character" w:customStyle="1" w:styleId="st">
    <w:name w:val="st"/>
    <w:basedOn w:val="DefaultParagraphFont"/>
    <w:uiPriority w:val="99"/>
    <w:rsid w:val="004D10CB"/>
  </w:style>
  <w:style w:type="character" w:styleId="Hyperlink">
    <w:name w:val="Hyperlink"/>
    <w:basedOn w:val="DefaultParagraphFont"/>
    <w:uiPriority w:val="99"/>
    <w:rsid w:val="004D10CB"/>
    <w:rPr>
      <w:color w:val="0000FF"/>
      <w:u w:val="single"/>
    </w:rPr>
  </w:style>
  <w:style w:type="paragraph" w:styleId="FootnoteText">
    <w:name w:val="footnote text"/>
    <w:aliases w:val="Footnote Text Char1 Char,ft Char Char,Geneva 9 Char Char,Font: Geneva 9 Char Char,Boston 10 Char Char,f Char Char,Текст сноски Знак1 Char Char,Текст сноски Знак1 Char Char Char Char Char Char Char Char,ft Char1,f Char1,f,single space,fn"/>
    <w:basedOn w:val="Normal"/>
    <w:link w:val="FootnoteTextChar2"/>
    <w:uiPriority w:val="99"/>
    <w:semiHidden/>
    <w:rsid w:val="004D10CB"/>
    <w:pPr>
      <w:spacing w:after="0" w:line="240" w:lineRule="auto"/>
    </w:pPr>
    <w:rPr>
      <w:rFonts w:eastAsia="Times New Roman"/>
      <w:sz w:val="20"/>
      <w:szCs w:val="20"/>
      <w:lang w:val="ro-RO" w:eastAsia="ro-RO"/>
    </w:rPr>
  </w:style>
  <w:style w:type="character" w:customStyle="1" w:styleId="FootnoteTextChar">
    <w:name w:val="Footnote Text Char"/>
    <w:aliases w:val="Footnote Text Char1 Char Char,ft Char Char Char,Geneva 9 Char Char Char,Font: Geneva 9 Char Char Char,Boston 10 Char Char Char,f Char Char Char,Текст сноски Знак1 Char Char Char,ft Char1 Char,f Char1 Char,f Char,single space Char"/>
    <w:basedOn w:val="DefaultParagraphFont"/>
    <w:uiPriority w:val="99"/>
    <w:locked/>
    <w:rsid w:val="004D10CB"/>
    <w:rPr>
      <w:sz w:val="20"/>
      <w:szCs w:val="20"/>
      <w:lang w:val="en-GB"/>
    </w:rPr>
  </w:style>
  <w:style w:type="character" w:customStyle="1" w:styleId="FootnoteTextChar2">
    <w:name w:val="Footnote Text Char2"/>
    <w:aliases w:val="Footnote Text Char1 Char Char1,ft Char Char Char1,Geneva 9 Char Char Char1,Font: Geneva 9 Char Char Char1,Boston 10 Char Char Char1,f Char Char Char1,Текст сноски Знак1 Char Char Char1,ft Char1 Char1,f Char1 Char1,f Char2,fn Char"/>
    <w:basedOn w:val="DefaultParagraphFont"/>
    <w:link w:val="FootnoteText"/>
    <w:uiPriority w:val="99"/>
    <w:locked/>
    <w:rsid w:val="004D10CB"/>
    <w:rPr>
      <w:rFonts w:eastAsia="Times New Roman"/>
      <w:lang w:val="ro-RO" w:eastAsia="ro-RO"/>
    </w:rPr>
  </w:style>
  <w:style w:type="character" w:styleId="FootnoteReference">
    <w:name w:val="footnote reference"/>
    <w:aliases w:val="ftref,Footnotes refss,Fussnota,Footnote symbol,Footnote reference number,Times 10 Point,Exposant 3 Point,EN Footnote Reference,note TESI,Footnote Reference Superscript,Zchn Zchn,Footnote number,Footnote Reference Number,BVI fnr,o,R"/>
    <w:basedOn w:val="DefaultParagraphFont"/>
    <w:uiPriority w:val="99"/>
    <w:semiHidden/>
    <w:rsid w:val="004D10CB"/>
    <w:rPr>
      <w:vertAlign w:val="superscript"/>
    </w:rPr>
  </w:style>
  <w:style w:type="paragraph" w:styleId="NormalWeb">
    <w:name w:val="Normal (Web)"/>
    <w:basedOn w:val="Normal"/>
    <w:uiPriority w:val="99"/>
    <w:rsid w:val="004D10C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uiPriority w:val="99"/>
    <w:rsid w:val="004D10CB"/>
    <w:pPr>
      <w:spacing w:after="200" w:line="276" w:lineRule="auto"/>
    </w:pPr>
    <w:rPr>
      <w:rFonts w:ascii="Arial" w:eastAsia="Times New Roman" w:hAnsi="Arial" w:cs="Arial"/>
      <w:color w:val="000000"/>
    </w:rPr>
  </w:style>
  <w:style w:type="paragraph" w:styleId="BodyTextIndent">
    <w:name w:val="Body Text Indent"/>
    <w:basedOn w:val="Normal"/>
    <w:link w:val="BodyTextIndentChar"/>
    <w:uiPriority w:val="99"/>
    <w:semiHidden/>
    <w:rsid w:val="004D10CB"/>
    <w:pPr>
      <w:spacing w:after="120" w:line="240" w:lineRule="auto"/>
      <w:ind w:left="283"/>
    </w:pPr>
    <w:rPr>
      <w:rFonts w:ascii="Arial" w:eastAsia="Times New Roman" w:hAnsi="Arial" w:cs="Arial"/>
      <w:noProof/>
      <w:sz w:val="24"/>
      <w:szCs w:val="24"/>
      <w:lang w:val="ro-RO"/>
    </w:rPr>
  </w:style>
  <w:style w:type="character" w:customStyle="1" w:styleId="BodyTextIndentChar">
    <w:name w:val="Body Text Indent Char"/>
    <w:basedOn w:val="DefaultParagraphFont"/>
    <w:link w:val="BodyTextIndent"/>
    <w:uiPriority w:val="99"/>
    <w:semiHidden/>
    <w:locked/>
    <w:rsid w:val="004D10CB"/>
    <w:rPr>
      <w:rFonts w:ascii="Arial" w:hAnsi="Arial" w:cs="Arial"/>
      <w:noProof/>
      <w:sz w:val="24"/>
      <w:szCs w:val="24"/>
      <w:lang w:val="ro-RO"/>
    </w:rPr>
  </w:style>
  <w:style w:type="paragraph" w:customStyle="1" w:styleId="Normal10">
    <w:name w:val="Normal1"/>
    <w:uiPriority w:val="99"/>
    <w:rsid w:val="004D10CB"/>
    <w:pPr>
      <w:spacing w:after="200" w:line="276" w:lineRule="auto"/>
    </w:pPr>
    <w:rPr>
      <w:rFonts w:ascii="Arial" w:eastAsia="Times New Roman" w:hAnsi="Arial" w:cs="Arial"/>
      <w:color w:val="000000"/>
    </w:rPr>
  </w:style>
  <w:style w:type="character" w:customStyle="1" w:styleId="BalloonTextChar2">
    <w:name w:val="Balloon Text Char2"/>
    <w:basedOn w:val="DefaultParagraphFont"/>
    <w:link w:val="BalloonText"/>
    <w:uiPriority w:val="99"/>
    <w:semiHidden/>
    <w:locked/>
    <w:rsid w:val="004D10CB"/>
    <w:rPr>
      <w:rFonts w:ascii="Tahoma" w:hAnsi="Tahoma" w:cs="Tahoma"/>
      <w:sz w:val="16"/>
      <w:szCs w:val="16"/>
      <w:lang w:val="en-GB"/>
    </w:rPr>
  </w:style>
  <w:style w:type="character" w:customStyle="1" w:styleId="BalloonTextChar1">
    <w:name w:val="Balloon Text Char1"/>
    <w:basedOn w:val="DefaultParagraphFont"/>
    <w:uiPriority w:val="99"/>
    <w:semiHidden/>
    <w:rsid w:val="004D10CB"/>
    <w:rPr>
      <w:rFonts w:ascii="Lucida Grande" w:hAnsi="Lucida Grande" w:cs="Lucida Grande"/>
      <w:sz w:val="18"/>
      <w:szCs w:val="18"/>
    </w:rPr>
  </w:style>
  <w:style w:type="character" w:styleId="Strong">
    <w:name w:val="Strong"/>
    <w:basedOn w:val="DefaultParagraphFont"/>
    <w:uiPriority w:val="99"/>
    <w:qFormat/>
    <w:rsid w:val="004D10CB"/>
    <w:rPr>
      <w:b/>
      <w:bCs/>
    </w:rPr>
  </w:style>
  <w:style w:type="character" w:customStyle="1" w:styleId="apple-converted-space">
    <w:name w:val="apple-converted-space"/>
    <w:basedOn w:val="DefaultParagraphFont"/>
    <w:uiPriority w:val="99"/>
    <w:rsid w:val="004D10CB"/>
  </w:style>
  <w:style w:type="character" w:styleId="FollowedHyperlink">
    <w:name w:val="FollowedHyperlink"/>
    <w:basedOn w:val="DefaultParagraphFont"/>
    <w:uiPriority w:val="99"/>
    <w:semiHidden/>
    <w:rsid w:val="004D10CB"/>
    <w:rPr>
      <w:color w:val="800080"/>
      <w:u w:val="single"/>
    </w:rPr>
  </w:style>
  <w:style w:type="paragraph" w:customStyle="1" w:styleId="Default">
    <w:name w:val="Default"/>
    <w:uiPriority w:val="99"/>
    <w:rsid w:val="004D10CB"/>
    <w:pPr>
      <w:widowControl w:val="0"/>
      <w:autoSpaceDE w:val="0"/>
      <w:autoSpaceDN w:val="0"/>
      <w:adjustRightInd w:val="0"/>
      <w:spacing w:after="200" w:line="276" w:lineRule="auto"/>
    </w:pPr>
    <w:rPr>
      <w:rFonts w:cs="Calibri"/>
      <w:color w:val="000000"/>
      <w:sz w:val="24"/>
      <w:szCs w:val="24"/>
    </w:rPr>
  </w:style>
  <w:style w:type="character" w:customStyle="1" w:styleId="FootnoteTextChar1">
    <w:name w:val="Footnote Text Char1"/>
    <w:aliases w:val="Footnote Text Char1 Char Char2,ft Char Char Char2,Geneva 9 Char Char Char2,Font: Geneva 9 Char Char Char2,Boston 10 Char Char Char2,f Char Char Char2,Текст сноски Знак1 Char Char Char2,ft Char1 Char2,f Char1 Char2,f Char3"/>
    <w:uiPriority w:val="99"/>
    <w:rsid w:val="004D10CB"/>
    <w:rPr>
      <w:rFonts w:ascii="Arial" w:eastAsia="MS Mincho" w:hAnsi="Arial" w:cs="Arial"/>
      <w:sz w:val="18"/>
      <w:szCs w:val="18"/>
      <w:lang w:val="ro-RO" w:eastAsia="ja-JP"/>
    </w:rPr>
  </w:style>
  <w:style w:type="paragraph" w:styleId="Caption">
    <w:name w:val="caption"/>
    <w:basedOn w:val="Normal"/>
    <w:next w:val="Normal"/>
    <w:uiPriority w:val="99"/>
    <w:qFormat/>
    <w:rsid w:val="004D10CB"/>
    <w:pPr>
      <w:spacing w:line="240" w:lineRule="auto"/>
    </w:pPr>
    <w:rPr>
      <w:b/>
      <w:bCs/>
      <w:color w:val="4F81BD"/>
      <w:sz w:val="18"/>
      <w:szCs w:val="18"/>
    </w:rPr>
  </w:style>
  <w:style w:type="paragraph" w:styleId="TOC1">
    <w:name w:val="toc 1"/>
    <w:basedOn w:val="Normal"/>
    <w:next w:val="Normal"/>
    <w:autoRedefine/>
    <w:uiPriority w:val="39"/>
    <w:locked/>
    <w:rsid w:val="004D10CB"/>
    <w:pPr>
      <w:spacing w:before="360" w:after="0"/>
    </w:pPr>
    <w:rPr>
      <w:rFonts w:ascii="Cambria" w:hAnsi="Cambria" w:cs="Cambria"/>
      <w:b/>
      <w:bCs/>
      <w:caps/>
      <w:sz w:val="24"/>
      <w:szCs w:val="24"/>
      <w:lang w:val="en-US"/>
    </w:rPr>
  </w:style>
  <w:style w:type="paragraph" w:styleId="TOC2">
    <w:name w:val="toc 2"/>
    <w:basedOn w:val="Normal"/>
    <w:next w:val="Normal"/>
    <w:autoRedefine/>
    <w:uiPriority w:val="39"/>
    <w:locked/>
    <w:rsid w:val="004D10CB"/>
    <w:pPr>
      <w:spacing w:before="240" w:after="0"/>
    </w:pPr>
    <w:rPr>
      <w:b/>
      <w:bCs/>
      <w:sz w:val="20"/>
      <w:szCs w:val="20"/>
      <w:lang w:val="en-US"/>
    </w:rPr>
  </w:style>
  <w:style w:type="paragraph" w:styleId="TOC3">
    <w:name w:val="toc 3"/>
    <w:basedOn w:val="Normal"/>
    <w:next w:val="Normal"/>
    <w:autoRedefine/>
    <w:uiPriority w:val="39"/>
    <w:locked/>
    <w:rsid w:val="004D10CB"/>
    <w:pPr>
      <w:spacing w:after="0"/>
      <w:ind w:left="220"/>
    </w:pPr>
    <w:rPr>
      <w:sz w:val="20"/>
      <w:szCs w:val="20"/>
      <w:lang w:val="en-US"/>
    </w:rPr>
  </w:style>
  <w:style w:type="paragraph" w:styleId="TOC4">
    <w:name w:val="toc 4"/>
    <w:basedOn w:val="Normal"/>
    <w:next w:val="Normal"/>
    <w:autoRedefine/>
    <w:uiPriority w:val="39"/>
    <w:semiHidden/>
    <w:locked/>
    <w:rsid w:val="004D10CB"/>
    <w:pPr>
      <w:spacing w:after="0"/>
      <w:ind w:left="440"/>
    </w:pPr>
    <w:rPr>
      <w:sz w:val="20"/>
      <w:szCs w:val="20"/>
      <w:lang w:val="en-US"/>
    </w:rPr>
  </w:style>
  <w:style w:type="paragraph" w:styleId="TOC5">
    <w:name w:val="toc 5"/>
    <w:basedOn w:val="Normal"/>
    <w:next w:val="Normal"/>
    <w:autoRedefine/>
    <w:uiPriority w:val="39"/>
    <w:semiHidden/>
    <w:locked/>
    <w:rsid w:val="004D10CB"/>
    <w:pPr>
      <w:spacing w:after="0"/>
      <w:ind w:left="660"/>
    </w:pPr>
    <w:rPr>
      <w:sz w:val="20"/>
      <w:szCs w:val="20"/>
      <w:lang w:val="en-US"/>
    </w:rPr>
  </w:style>
  <w:style w:type="paragraph" w:styleId="TOC6">
    <w:name w:val="toc 6"/>
    <w:basedOn w:val="Normal"/>
    <w:next w:val="Normal"/>
    <w:autoRedefine/>
    <w:uiPriority w:val="39"/>
    <w:semiHidden/>
    <w:locked/>
    <w:rsid w:val="004D10CB"/>
    <w:pPr>
      <w:spacing w:after="0"/>
      <w:ind w:left="880"/>
    </w:pPr>
    <w:rPr>
      <w:sz w:val="20"/>
      <w:szCs w:val="20"/>
      <w:lang w:val="en-US"/>
    </w:rPr>
  </w:style>
  <w:style w:type="paragraph" w:styleId="TOC7">
    <w:name w:val="toc 7"/>
    <w:basedOn w:val="Normal"/>
    <w:next w:val="Normal"/>
    <w:autoRedefine/>
    <w:uiPriority w:val="39"/>
    <w:semiHidden/>
    <w:locked/>
    <w:rsid w:val="004D10CB"/>
    <w:pPr>
      <w:spacing w:after="0"/>
      <w:ind w:left="1100"/>
    </w:pPr>
    <w:rPr>
      <w:sz w:val="20"/>
      <w:szCs w:val="20"/>
      <w:lang w:val="en-US"/>
    </w:rPr>
  </w:style>
  <w:style w:type="paragraph" w:styleId="TOC8">
    <w:name w:val="toc 8"/>
    <w:basedOn w:val="Normal"/>
    <w:next w:val="Normal"/>
    <w:autoRedefine/>
    <w:uiPriority w:val="39"/>
    <w:semiHidden/>
    <w:locked/>
    <w:rsid w:val="004D10CB"/>
    <w:pPr>
      <w:spacing w:after="0"/>
      <w:ind w:left="1320"/>
    </w:pPr>
    <w:rPr>
      <w:sz w:val="20"/>
      <w:szCs w:val="20"/>
      <w:lang w:val="en-US"/>
    </w:rPr>
  </w:style>
  <w:style w:type="paragraph" w:styleId="TOC9">
    <w:name w:val="toc 9"/>
    <w:basedOn w:val="Normal"/>
    <w:next w:val="Normal"/>
    <w:autoRedefine/>
    <w:uiPriority w:val="39"/>
    <w:semiHidden/>
    <w:locked/>
    <w:rsid w:val="004D10CB"/>
    <w:pPr>
      <w:spacing w:after="0"/>
      <w:ind w:left="1540"/>
    </w:pPr>
    <w:rPr>
      <w:sz w:val="20"/>
      <w:szCs w:val="20"/>
      <w:lang w:val="en-US"/>
    </w:rPr>
  </w:style>
  <w:style w:type="character" w:styleId="CommentReference">
    <w:name w:val="annotation reference"/>
    <w:basedOn w:val="DefaultParagraphFont"/>
    <w:uiPriority w:val="99"/>
    <w:semiHidden/>
    <w:rsid w:val="004D10CB"/>
    <w:rPr>
      <w:sz w:val="16"/>
      <w:szCs w:val="16"/>
    </w:rPr>
  </w:style>
  <w:style w:type="paragraph" w:styleId="CommentText">
    <w:name w:val="annotation text"/>
    <w:basedOn w:val="Normal"/>
    <w:link w:val="CommentTextChar"/>
    <w:uiPriority w:val="99"/>
    <w:semiHidden/>
    <w:rsid w:val="004D10CB"/>
    <w:pPr>
      <w:spacing w:line="240" w:lineRule="auto"/>
    </w:pPr>
    <w:rPr>
      <w:sz w:val="20"/>
      <w:szCs w:val="20"/>
      <w:lang w:val="en-US"/>
    </w:rPr>
  </w:style>
  <w:style w:type="character" w:customStyle="1" w:styleId="CommentTextChar">
    <w:name w:val="Comment Text Char"/>
    <w:basedOn w:val="DefaultParagraphFont"/>
    <w:link w:val="CommentText"/>
    <w:uiPriority w:val="99"/>
    <w:locked/>
    <w:rsid w:val="004D10CB"/>
    <w:rPr>
      <w:rFonts w:ascii="Calibri" w:hAnsi="Calibri" w:cs="Calibri"/>
    </w:rPr>
  </w:style>
  <w:style w:type="paragraph" w:styleId="CommentSubject">
    <w:name w:val="annotation subject"/>
    <w:basedOn w:val="CommentText"/>
    <w:next w:val="CommentText"/>
    <w:link w:val="CommentSubjectChar"/>
    <w:uiPriority w:val="99"/>
    <w:semiHidden/>
    <w:rsid w:val="004D10CB"/>
    <w:rPr>
      <w:b/>
      <w:bCs/>
    </w:rPr>
  </w:style>
  <w:style w:type="character" w:customStyle="1" w:styleId="CommentSubjectChar">
    <w:name w:val="Comment Subject Char"/>
    <w:basedOn w:val="CommentTextChar"/>
    <w:link w:val="CommentSubject"/>
    <w:uiPriority w:val="99"/>
    <w:locked/>
    <w:rsid w:val="004D10CB"/>
    <w:rPr>
      <w:rFonts w:ascii="Calibri" w:hAnsi="Calibri" w:cs="Calibri"/>
      <w:b/>
      <w:bCs/>
    </w:rPr>
  </w:style>
  <w:style w:type="paragraph" w:customStyle="1" w:styleId="ColorfulShading-Accent11">
    <w:name w:val="Colorful Shading - Accent 11"/>
    <w:hidden/>
    <w:uiPriority w:val="99"/>
    <w:semiHidden/>
    <w:rsid w:val="004D10CB"/>
    <w:pPr>
      <w:spacing w:after="200" w:line="276" w:lineRule="auto"/>
    </w:pPr>
    <w:rPr>
      <w:rFonts w:cs="Calibri"/>
      <w:lang w:val="en-GB"/>
    </w:rPr>
  </w:style>
  <w:style w:type="paragraph" w:styleId="Title">
    <w:name w:val="Title"/>
    <w:basedOn w:val="Normal"/>
    <w:next w:val="Normal"/>
    <w:link w:val="TitleChar"/>
    <w:uiPriority w:val="99"/>
    <w:qFormat/>
    <w:rsid w:val="004D10CB"/>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4D10CB"/>
    <w:rPr>
      <w:rFonts w:ascii="Cambria" w:hAnsi="Cambria" w:cs="Cambria"/>
      <w:color w:val="17365D"/>
      <w:spacing w:val="5"/>
      <w:kern w:val="28"/>
      <w:sz w:val="52"/>
      <w:szCs w:val="52"/>
      <w:lang w:val="en-GB"/>
    </w:rPr>
  </w:style>
  <w:style w:type="paragraph" w:styleId="DocumentMap">
    <w:name w:val="Document Map"/>
    <w:basedOn w:val="Normal"/>
    <w:link w:val="DocumentMapChar"/>
    <w:uiPriority w:val="99"/>
    <w:semiHidden/>
    <w:rsid w:val="004D10C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4D10CB"/>
    <w:rPr>
      <w:rFonts w:ascii="Tahoma" w:hAnsi="Tahoma" w:cs="Tahoma"/>
      <w:sz w:val="16"/>
      <w:szCs w:val="16"/>
      <w:lang w:val="en-GB"/>
    </w:rPr>
  </w:style>
  <w:style w:type="paragraph" w:customStyle="1" w:styleId="TOCHeading1">
    <w:name w:val="TOC Heading1"/>
    <w:basedOn w:val="Heading1"/>
    <w:next w:val="Normal"/>
    <w:uiPriority w:val="99"/>
    <w:rsid w:val="004D10CB"/>
    <w:pPr>
      <w:outlineLvl w:val="9"/>
    </w:pPr>
    <w:rPr>
      <w:lang w:val="en-US"/>
    </w:rPr>
  </w:style>
  <w:style w:type="paragraph" w:customStyle="1" w:styleId="ColorfulList-Accent111">
    <w:name w:val="Colorful List - Accent 111"/>
    <w:basedOn w:val="Normal"/>
    <w:uiPriority w:val="99"/>
    <w:rsid w:val="004D10CB"/>
    <w:pPr>
      <w:ind w:left="720"/>
    </w:pPr>
  </w:style>
  <w:style w:type="paragraph" w:styleId="ListParagraph">
    <w:name w:val="List Paragraph"/>
    <w:basedOn w:val="Normal"/>
    <w:uiPriority w:val="34"/>
    <w:qFormat/>
    <w:rsid w:val="0012607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561387">
      <w:marLeft w:val="0"/>
      <w:marRight w:val="0"/>
      <w:marTop w:val="0"/>
      <w:marBottom w:val="0"/>
      <w:divBdr>
        <w:top w:val="none" w:sz="0" w:space="0" w:color="auto"/>
        <w:left w:val="none" w:sz="0" w:space="0" w:color="auto"/>
        <w:bottom w:val="none" w:sz="0" w:space="0" w:color="auto"/>
        <w:right w:val="none" w:sz="0" w:space="0" w:color="auto"/>
      </w:divBdr>
    </w:div>
    <w:div w:id="15805613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urodesk.org/edesk/SearchDb.do?go=1&amp;progId=EU0010000401&amp;show" TargetMode="External"/><Relationship Id="rId2" Type="http://schemas.openxmlformats.org/officeDocument/2006/relationships/hyperlink" Target="http://programenationale2013.aippimm.ro/" TargetMode="External"/><Relationship Id="rId1" Type="http://schemas.openxmlformats.org/officeDocument/2006/relationships/hyperlink" Target="http://ec.europa.eu/europe2020/pdf/nd/csr2013_romania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20010</Words>
  <Characters>114062</Characters>
  <Application>Microsoft Office Word</Application>
  <DocSecurity>0</DocSecurity>
  <Lines>950</Lines>
  <Paragraphs>267</Paragraphs>
  <ScaleCrop>false</ScaleCrop>
  <HeadingPairs>
    <vt:vector size="2" baseType="variant">
      <vt:variant>
        <vt:lpstr>Title</vt:lpstr>
      </vt:variant>
      <vt:variant>
        <vt:i4>1</vt:i4>
      </vt:variant>
    </vt:vector>
  </HeadingPairs>
  <TitlesOfParts>
    <vt:vector size="1" baseType="lpstr">
      <vt:lpstr>Strategie 22.10.2013</vt:lpstr>
    </vt:vector>
  </TitlesOfParts>
  <Company>Octav Marcovici</Company>
  <LinksUpToDate>false</LinksUpToDate>
  <CharactersWithSpaces>133805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 22.10.2013</dc:title>
  <dc:subject>Strategie cu feedback UNICEF</dc:subject>
  <dc:creator>Octav Marcovici</dc:creator>
  <cp:lastModifiedBy>Eugenia Apolzan</cp:lastModifiedBy>
  <cp:revision>2</cp:revision>
  <dcterms:created xsi:type="dcterms:W3CDTF">2013-10-22T10:48:00Z</dcterms:created>
  <dcterms:modified xsi:type="dcterms:W3CDTF">2013-10-22T10:48:00Z</dcterms:modified>
</cp:coreProperties>
</file>